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6666"/>
          <w:sz w:val="20"/>
        </w:rPr>
        <w:t>MSc Dissertation — COMP5200M</w:t>
      </w:r>
    </w:p>
    <w:p/>
    <w:p>
      <w:pPr>
        <w:pStyle w:val="Title"/>
        <w:jc w:val="left"/>
      </w:pPr>
      <w:r>
        <w:t>Proposed Experimental Setup</w:t>
      </w:r>
    </w:p>
    <w:p>
      <w:pPr>
        <w:jc w:val="left"/>
      </w:pPr>
      <w:r>
        <w:rPr>
          <w:color w:val="444444"/>
          <w:sz w:val="32"/>
        </w:rPr>
        <w:t>Review Before Training</w:t>
      </w:r>
    </w:p>
    <w:p/>
    <w:p>
      <w:r>
        <w:rPr>
          <w:b/>
        </w:rPr>
        <w:t xml:space="preserve">Purpose: </w:t>
      </w:r>
      <w:r>
        <w:t>This document outlines the proposed instance configurations and experimental parameters for the final training runs. Please review and advise before I proceed with full-scale experiments.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1"/>
      </w:pPr>
      <w:r>
        <w:t>1. Proposed Instance Configurations</w:t>
      </w:r>
    </w:p>
    <w:p>
      <w:r>
        <w:t>Eight configurations covering five single-machine and three multi-machine problem sizes. The naming convention encodes the problem dimensions directly: n{jobs}_m{machines}.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Jobs 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Machines (m)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μ (avg proc hrs)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n10_m1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n20_m1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n100_m1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n20_m3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n50_m5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n500_m10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3.36</w:t>
            </w:r>
          </w:p>
        </w:tc>
      </w:tr>
    </w:tbl>
    <w:p/>
    <w:p>
      <w:pPr>
        <w:pStyle w:val="Heading2"/>
      </w:pPr>
      <w:r>
        <w:t>Configuration Rationale</w:t>
      </w:r>
    </w:p>
    <w:p>
      <w:r>
        <w:t>The eight configs are organised into three functional tiers:</w:t>
      </w:r>
    </w:p>
    <w:p/>
    <w:p>
      <w:r>
        <w:rPr>
          <w:b/>
        </w:rPr>
        <w:t xml:space="preserve">Tier 1 — Small (n ≤ 20): </w:t>
      </w:r>
      <w:r>
        <w:t>n5_m1, n10_m1, n20_m1, n20_m3. These test basic functionality and provide baseline comparisons. At these sizes the GA can explore the search space adequately with fixed operators, so the hyper-heuristic is not expected to add significant value.</w:t>
      </w:r>
    </w:p>
    <w:p>
      <w:r>
        <w:rPr>
          <w:b/>
        </w:rPr>
        <w:t xml:space="preserve">Tier 2 — Medium (n = 50–100): </w:t>
      </w:r>
      <w:r>
        <w:t>n50_m1, n100_m1, n50_m5. These are the core evaluation configs where the search space becomes large enough for adaptive mutation control to matter. The hybrid approach should show clear advantage here.</w:t>
      </w:r>
    </w:p>
    <w:p>
      <w:r>
        <w:rPr>
          <w:b/>
        </w:rPr>
        <w:t xml:space="preserve">Tier 3 — Large (n = 500): </w:t>
      </w:r>
      <w:r>
        <w:t>n500_m10. This tests scalability to industrial-scale instances. If the hybrid generalises well here, it demonstrates practical applicability.</w:t>
      </w:r>
    </w:p>
    <w:p/>
    <w:p>
      <w:pPr>
        <w:pStyle w:val="Heading1"/>
      </w:pPr>
      <w:r>
        <w:t>2. Scalability Considerations</w:t>
      </w:r>
    </w:p>
    <w:p>
      <w:r>
        <w:t>A natural question is whether additional configurations beyond n500_m10 (e.g. n1000_m10 or n2000_m20) would strengthen the evaluation.</w:t>
      </w:r>
    </w:p>
    <w:p/>
    <w:p>
      <w:r>
        <w:rPr>
          <w:b/>
        </w:rPr>
        <w:t xml:space="preserve">Proposed position: </w:t>
      </w:r>
      <w:r>
        <w:t>The current eight configs are sufficient to demonstrate scalability for the following reasons:</w:t>
      </w:r>
    </w:p>
    <w:p/>
    <w:p>
      <w:pPr>
        <w:pStyle w:val="ListBullet"/>
      </w:pPr>
      <w:r>
        <w:rPr>
          <w:b/>
        </w:rPr>
        <w:t xml:space="preserve">Diminishing returns: </w:t>
      </w:r>
      <w:r>
        <w:t>The search space grows combinatorially with n. At n=500, the permutation space is already 500! ≈ 10⁻¹ʸ⁵, which is far beyond exhaustive search. Adding more jobs does not qualitatively change the problem structure — it only increases runtime.</w:t>
      </w:r>
    </w:p>
    <w:p>
      <w:pPr>
        <w:pStyle w:val="ListBullet"/>
      </w:pPr>
      <w:r>
        <w:rPr>
          <w:b/>
        </w:rPr>
        <w:t xml:space="preserve">Coverage: </w:t>
      </w:r>
      <w:r>
        <w:t>The current configs span three orders of magnitude in search space size (5! to 500!). This is sufficient to observe scaling trends in GA vs hybrid performance.</w:t>
      </w:r>
    </w:p>
    <w:p>
      <w:pPr>
        <w:pStyle w:val="ListBullet"/>
      </w:pPr>
      <w:r>
        <w:rPr>
          <w:b/>
        </w:rPr>
        <w:t xml:space="preserve">Computational cost: </w:t>
      </w:r>
      <w:r>
        <w:t>Configs beyond n=500 require substantially more computational resources (hours per run vs minutes) without necessarily providing new insight. The thesis can note that larger instances are a direction for future work.</w:t>
      </w:r>
    </w:p>
    <w:p>
      <w:pPr>
        <w:pStyle w:val="ListBullet"/>
      </w:pPr>
      <w:r>
        <w:rPr>
          <w:b/>
        </w:rPr>
        <w:t xml:space="preserve">Narrative completeness: </w:t>
      </w:r>
      <w:r>
        <w:t>The three-tier structure (small/medium/large) already tells a clear story: the hybrid advantage increases with problem size. Additional data points would confirm the trend but not change the conclusion.</w:t>
      </w:r>
    </w:p>
    <w:p/>
    <w:p>
      <w:r>
        <w:rPr>
          <w:b/>
          <w:color w:val="C0392B"/>
        </w:rPr>
        <w:t xml:space="preserve">Question for supervisor: </w:t>
      </w:r>
      <w:r>
        <w:t>Is the current config set sufficient, or would you like me to add larger instances (n ≥ 1000)?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1"/>
      </w:pPr>
      <w:r>
        <w:t>3. Instance Generation Model</w:t>
      </w:r>
    </w:p>
    <w:p>
      <w:r>
        <w:t>All instances are generated synthetically, grounded in realistic textile dyeing factory parameters.</w:t>
      </w:r>
    </w:p>
    <w:p/>
    <w:p>
      <w:pPr>
        <w:pStyle w:val="Heading3"/>
      </w:pPr>
      <w:r>
        <w:t>Processing Time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pᵢ ~ Uniform(0.3 × μ, 1.7 × μ)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where μ = (m × 168) / n</w:t>
      </w:r>
    </w:p>
    <w:p>
      <w:r>
        <w:t>Total work across all machines fills exactly one 168-hour week (24/7 multi-shift operation).</w:t>
      </w:r>
    </w:p>
    <w:p>
      <w:pPr>
        <w:pStyle w:val="Heading3"/>
      </w:pPr>
      <w:r>
        <w:t>Setup Cost Matrix</w:t>
      </w:r>
    </w:p>
    <w:p>
      <w:r>
        <w:t>Asymmetric cost based on colour darkness transition: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S[i][j] = (D[i] − D[j]) × 10 + ε     if D[i] &gt; D[j]  (dark → light)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S[i][j] = |D[i] − D[j]| × 3 + ε      if D[i] &lt; D[j]  (light → dark)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S[i][j] = 0                                 if i = j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where ε ~ Uniform(0, 2)</w:t>
      </w:r>
    </w:p>
    <w:p>
      <w:pPr>
        <w:pStyle w:val="Heading3"/>
      </w:pPr>
      <w:r>
        <w:t>Setup Time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τ[i][j] = (S[i][j] / S̄) × (μ / 8)</w:t>
      </w:r>
    </w:p>
    <w:p>
      <w:r>
        <w:t>Average setup time is 1/8 of processing time (vat cleaning ~1–2 hrs vs dye cycle ~8–16 hrs).</w:t>
      </w:r>
    </w:p>
    <w:p>
      <w:pPr>
        <w:pStyle w:val="Heading3"/>
      </w:pPr>
      <w:r>
        <w:t>Due Dates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d[ σ(i) ] = (Σ_{j=1}^{i} p[ σ(j) ] / Σ_{j=1}^{n} p[ σ(j) ]) × 168 + εᵢ</w:t>
      </w:r>
    </w:p>
    <w:p>
      <w:r>
        <w:t>Due dates are proportional within the week, following SPT order with small random jitter.</w:t>
      </w:r>
    </w:p>
    <w:p/>
    <w:p>
      <w:pPr>
        <w:pStyle w:val="Heading1"/>
      </w:pPr>
      <w:r>
        <w:t>4. Objective Function</w:t>
      </w:r>
    </w:p>
    <w:p>
      <w:pPr>
        <w:spacing w:before="80" w:after="80"/>
        <w:ind w:left="567"/>
      </w:pPr>
      <w:r>
        <w:rPr>
          <w:rFonts w:ascii="Consolas" w:hAnsi="Consolas"/>
          <w:color w:val="1A1A2E"/>
          <w:sz w:val="20"/>
        </w:rPr>
        <w:t>F = α × (f₁ / f₁_scale) + (1 − α) × (f₂ / f₂_scale)</w:t>
      </w:r>
    </w:p>
    <w:p/>
    <w:p>
      <w:r>
        <w:t>Where:</w:t>
      </w:r>
    </w:p>
    <w:p>
      <w:pPr>
        <w:pStyle w:val="ListBullet"/>
      </w:pPr>
      <w:r>
        <w:t>f₁ = weighted tardiness = Σ wᵢ × max(0, Cᵢ − dᵢ)</w:t>
      </w:r>
    </w:p>
    <w:p>
      <w:pPr>
        <w:pStyle w:val="ListBullet"/>
      </w:pPr>
      <w:r>
        <w:t>f₂ = total setup cost = Σ S[prev][curr] across all machines</w:t>
      </w:r>
    </w:p>
    <w:p>
      <w:pPr>
        <w:pStyle w:val="ListBullet"/>
      </w:pPr>
      <w:r>
        <w:t>f₁_scale, f₂_scale = normalisation scales from SPT + NN-Greedy + random × 1.5</w:t>
      </w:r>
    </w:p>
    <w:p>
      <w:pPr>
        <w:pStyle w:val="ListBullet"/>
      </w:pPr>
      <w:r>
        <w:t>α = trade-off parameter (evaluated at 0.3, 0.5, 0.7)</w:t>
      </w:r>
    </w:p>
    <w:p/>
    <w:p>
      <w:pPr>
        <w:pStyle w:val="Heading1"/>
      </w:pPr>
      <w:r>
        <w:t>5. Training Parameters</w:t>
      </w:r>
    </w:p>
    <w:p>
      <w:pPr>
        <w:pStyle w:val="Heading2"/>
      </w:pPr>
      <w:r>
        <w:t>PPO Hyperparameters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Learning rate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× 10⁻⁴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n_steps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batch_size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n_epochs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gamma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entropy coefficient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Total timesteps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Population size (training)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Total generations (training)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100</w:t>
            </w:r>
          </w:p>
        </w:tc>
      </w:tr>
    </w:tbl>
    <w:p/>
    <w:p>
      <w:pPr>
        <w:pStyle w:val="Heading2"/>
      </w:pPr>
      <w:r>
        <w:t>GA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Generations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Population size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Crossover probability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Mutation probability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Tournament (tournsize=3)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Seeds per config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50</w:t>
            </w:r>
          </w:p>
        </w:tc>
      </w:tr>
    </w:tbl>
    <w:p/>
    <w:p>
      <w:pPr>
        <w:pStyle w:val="Heading2"/>
      </w:pPr>
      <w:r>
        <w:t>Action Space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mutShuffleIndexes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Conservative swap (indpb=0.05)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mutInversion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Segment reversal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mutInsertion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Remove-and-reinsert (indpb=0.15)</w:t>
            </w:r>
          </w:p>
        </w:tc>
      </w:tr>
    </w:tbl>
    <w:p/>
    <w:p>
      <w:pPr>
        <w:pStyle w:val="Heading2"/>
      </w:pPr>
      <w:r>
        <w:t>Observation Space (8D)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best*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Normalised best fitness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mean*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Normalised mean fitness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Population diversity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Normalised stagnation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n_norm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of jobs /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m_norm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of machines /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cost_mean_norm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Mean off-diagonal setup cost / max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darkness_mean_norm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Mean colour darkness / 10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/>
    <w:p>
      <w:pPr>
        <w:pStyle w:val="Heading1"/>
      </w:pPr>
      <w:r>
        <w:t>6. Next Steps</w:t>
      </w:r>
    </w:p>
    <w:p>
      <w:r>
        <w:t>After your feedback on the above, the planned workflow is:</w:t>
      </w:r>
    </w:p>
    <w:p/>
    <w:p>
      <w:r>
        <w:rPr>
          <w:b/>
        </w:rPr>
        <w:t xml:space="preserve">1. </w:t>
      </w:r>
      <w:r>
        <w:t>Run baselines (SPT + NN-Greedy) across all 8 configs, 50 seeds each.</w:t>
      </w:r>
    </w:p>
    <w:p>
      <w:r>
        <w:rPr>
          <w:b/>
        </w:rPr>
        <w:t xml:space="preserve">2. </w:t>
      </w:r>
      <w:r>
        <w:t>Train PPO agent on pooled instances (100k timesteps).</w:t>
      </w:r>
    </w:p>
    <w:p>
      <w:r>
        <w:rPr>
          <w:b/>
        </w:rPr>
        <w:t xml:space="preserve">3. </w:t>
      </w:r>
      <w:r>
        <w:t>Run standalone GA across all 8 configs, 50 seeds each.</w:t>
      </w:r>
    </w:p>
    <w:p>
      <w:r>
        <w:rPr>
          <w:b/>
        </w:rPr>
        <w:t xml:space="preserve">4. </w:t>
      </w:r>
      <w:r>
        <w:t>Run hybrid (GA + PPO) across all 8 configs, 50 seeds each.</w:t>
      </w:r>
    </w:p>
    <w:p>
      <w:r>
        <w:rPr>
          <w:b/>
        </w:rPr>
        <w:t xml:space="preserve">5. </w:t>
      </w:r>
      <w:r>
        <w:t>Run sensitivity analysis (α ∈ {0.3, 0.5, 0.7}) on medium configs.</w:t>
      </w:r>
    </w:p>
    <w:p>
      <w:r>
        <w:rPr>
          <w:b/>
        </w:rPr>
        <w:t xml:space="preserve">6. </w:t>
      </w:r>
      <w:r>
        <w:t>Statistical evaluation and visualisation (notebooks 05→06).</w:t>
      </w:r>
    </w:p>
    <w:p/>
    <w:p>
      <w:r>
        <w:rPr>
          <w:b/>
        </w:rPr>
        <w:t xml:space="preserve">Estimated runtime: </w:t>
      </w:r>
      <w:r>
        <w:t>~3–6 hours per full experiment set on cloud VM.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1"/>
      </w:pPr>
      <w:r>
        <w:t>Appendix: Symbol Legend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Number of jobs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Number of machines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Processing time of job i (hours)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Due date of job i (hours from time zero)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Priority weight of job i (always 1.0)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Completion time of job 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Tardiness of job i = max(0, Cᵢ − dᵢ)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S[i][j]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Setup cost from job i to job j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τ[i][j]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Setup time from job i to job j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σₖ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Sequence of jobs on machine 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Complete solution = (σ₁, ..., σₘ)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Trade-off parameter in [0, 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Weighted tardiness objective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Setup cost objective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Composite objective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Weekly operating hours = 168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Average processing time = (m × N) / 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D[i]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Colour darkness of job i in [1, 7]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Random noise in [0, 2]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