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color w:val="666666"/>
          <w:sz w:val="20"/>
        </w:rPr>
        <w:t>MSc Dissertation — COMP5200M</w:t>
      </w:r>
    </w:p>
    <w:p>
      <w:pPr>
        <w:pStyle w:val="Title"/>
      </w:pPr>
      <w:r>
        <w:t>Proposed Experimental Setup</w:t>
      </w:r>
    </w:p>
    <w:p>
      <w:r>
        <w:rPr>
          <w:color w:val="444444"/>
          <w:sz w:val="28"/>
        </w:rPr>
        <w:t>Review Before Training</w:t>
      </w:r>
    </w:p>
    <w:p>
      <w:r>
        <w:rPr>
          <w:b/>
        </w:rPr>
        <w:t xml:space="preserve">Purpose: </w:t>
      </w:r>
      <w:r>
        <w:t>Please review the proposed instance configurations before I proceed with full-scale training.</w:t>
      </w:r>
    </w:p>
    <w:p/>
    <w:p>
      <w:pPr>
        <w:pStyle w:val="Heading1"/>
      </w:pPr>
      <w:r>
        <w:t>1. Instance Configurations</w:t>
      </w:r>
    </w:p>
    <w:p>
      <w:r>
        <w:t>Eight configs covering single-machine and multi-machine problem sizes. Naming: n{jobs}_m{machines}.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Config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Jobs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Machines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μ (hrs)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33.6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n10_m1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n20_m1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8.4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3.36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n100_m1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1.68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n20_m3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25.2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n50_m5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16.8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20"/>
              </w:rPr>
              <w:t>n500_m10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500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20"/>
              </w:rPr>
              <w:t>3.36</w:t>
            </w:r>
          </w:p>
        </w:tc>
      </w:tr>
    </w:tbl>
    <w:p/>
    <w:p>
      <w:r>
        <w:rPr>
          <w:b/>
        </w:rPr>
        <w:t xml:space="preserve">Tier 1 — Small (n ≤ 20): </w:t>
      </w:r>
      <w:r>
        <w:t>Baseline comparisons. GA adequate at these sizes.</w:t>
      </w:r>
    </w:p>
    <w:p>
      <w:r>
        <w:rPr>
          <w:b/>
        </w:rPr>
        <w:t xml:space="preserve">Tier 2 — Medium (n = 50–100): </w:t>
      </w:r>
      <w:r>
        <w:t>Core evaluation. Search space large enough for adaptive mutation to matter.</w:t>
      </w:r>
    </w:p>
    <w:p>
      <w:r>
        <w:rPr>
          <w:b/>
        </w:rPr>
        <w:t xml:space="preserve">Tier 3 — Large (n = 500): </w:t>
      </w:r>
      <w:r>
        <w:t>Scalability test. Industrial-scale instance.</w:t>
      </w:r>
    </w:p>
    <w:p/>
    <w:p>
      <w:pPr>
        <w:pStyle w:val="Heading1"/>
      </w:pPr>
      <w:r>
        <w:t>2. Scalability Considerations</w:t>
      </w:r>
    </w:p>
    <w:p>
      <w:r>
        <w:rPr>
          <w:b/>
          <w:color w:val="C0392B"/>
        </w:rPr>
        <w:t xml:space="preserve">Question: </w:t>
      </w:r>
      <w:r>
        <w:t>Should I add larger configs (n ≥ 1000), or is n500_m10 sufficient?</w:t>
      </w:r>
    </w:p>
    <w:p/>
    <w:p>
      <w:pPr>
        <w:pStyle w:val="ListBullet"/>
      </w:pPr>
      <w:r>
        <w:rPr>
          <w:b/>
        </w:rPr>
        <w:t xml:space="preserve">Coverage: </w:t>
      </w:r>
      <w:r>
        <w:t>The current set spans 5 to 500 jobs (three orders of magnitude). This is sufficient to observe scaling trends.</w:t>
      </w:r>
    </w:p>
    <w:p>
      <w:pPr>
        <w:pStyle w:val="ListBullet"/>
      </w:pPr>
      <w:r>
        <w:rPr>
          <w:b/>
        </w:rPr>
        <w:t xml:space="preserve">Diminishing returns: </w:t>
      </w:r>
      <w:r>
        <w:t>Beyond n=500, runtime increases substantially without qualitatively new insight. The permutation space is already 500! ≈ 10⁻¹ʸ⁵.</w:t>
      </w:r>
    </w:p>
    <w:p>
      <w:pPr>
        <w:pStyle w:val="ListBullet"/>
      </w:pPr>
      <w:r>
        <w:rPr>
          <w:b/>
        </w:rPr>
        <w:t xml:space="preserve">Scope: </w:t>
      </w:r>
      <w:r>
        <w:t>Configs beyond n500 can be noted as future work in the thesis.</w:t>
      </w:r>
    </w:p>
    <w:p/>
    <w:p>
      <w:pPr>
        <w:pStyle w:val="Heading1"/>
      </w:pPr>
      <w:r>
        <w:t>3. Instance Generation Model</w:t>
      </w:r>
    </w:p>
    <w:p>
      <w:r>
        <w:t>Instances are synthetic, grounded in 24/7 multi-shift factory operation (168 hrs/week).</w:t>
      </w:r>
    </w:p>
    <w:p/>
    <w:p>
      <w:r>
        <w:rPr>
          <w:b/>
        </w:rPr>
        <w:t xml:space="preserve">Processing time: </w:t>
      </w:r>
      <w:r>
        <w:t>pᵢ ~ Uniform(0.3μ, 1.7μ) where μ = (m × 168)/n. Total work fills one week.</w:t>
      </w:r>
    </w:p>
    <w:p>
      <w:r>
        <w:rPr>
          <w:b/>
        </w:rPr>
        <w:t xml:space="preserve">Setup cost: </w:t>
      </w:r>
      <w:r>
        <w:t>Asymmetric. Dark→light: (diff) × 10. Light→dark: |diff| × 3. Diagonal = 0.</w:t>
      </w:r>
    </w:p>
    <w:p>
      <w:r>
        <w:rPr>
          <w:b/>
        </w:rPr>
        <w:t xml:space="preserve">Setup time: </w:t>
      </w:r>
      <w:r>
        <w:t>Normalised cost × μ/8. Average cleaning ≈ 1/8 of dye cycle.</w:t>
      </w:r>
    </w:p>
    <w:p>
      <w:r>
        <w:rPr>
          <w:b/>
        </w:rPr>
        <w:t xml:space="preserve">Due dates: </w:t>
      </w:r>
      <w:r>
        <w:t>Proportional within week, SPT order + jitter.</w:t>
      </w:r>
    </w:p>
    <w:p/>
    <w:p/>
    <w:p>
      <w:pPr>
        <w:pStyle w:val="Heading1"/>
      </w:pPr>
      <w:r>
        <w:t>4. Next Steps</w:t>
      </w:r>
    </w:p>
    <w:p>
      <w:r>
        <w:t>After your feedback:</w:t>
      </w:r>
    </w:p>
    <w:p>
      <w:r>
        <w:rPr>
          <w:b/>
        </w:rPr>
        <w:t xml:space="preserve">1. </w:t>
      </w:r>
      <w:r>
        <w:t>Run baselines (SPT + NN-Greedy), 50 seeds per config.</w:t>
      </w:r>
    </w:p>
    <w:p>
      <w:r>
        <w:rPr>
          <w:b/>
        </w:rPr>
        <w:t xml:space="preserve">2. </w:t>
      </w:r>
      <w:r>
        <w:t>Train PPO (100k timesteps).</w:t>
      </w:r>
    </w:p>
    <w:p>
      <w:r>
        <w:rPr>
          <w:b/>
        </w:rPr>
        <w:t xml:space="preserve">3. </w:t>
      </w:r>
      <w:r>
        <w:t>Run standalone GA, 50 seeds per config.</w:t>
      </w:r>
    </w:p>
    <w:p>
      <w:r>
        <w:rPr>
          <w:b/>
        </w:rPr>
        <w:t xml:space="preserve">4. </w:t>
      </w:r>
      <w:r>
        <w:t>Run hybrid (GA + PPO), 50 seeds per config.</w:t>
      </w:r>
    </w:p>
    <w:p>
      <w:r>
        <w:rPr>
          <w:b/>
        </w:rPr>
        <w:t xml:space="preserve">5. </w:t>
      </w:r>
      <w:r>
        <w:t>Sensitivity analysis (α ∈ {0.3, 0.5, 0.7}).</w:t>
      </w:r>
    </w:p>
    <w:p>
      <w:r>
        <w:rPr>
          <w:b/>
        </w:rPr>
        <w:t xml:space="preserve">6. </w:t>
      </w:r>
      <w:r>
        <w:t>Statistical evaluation and visualisation.</w:t>
      </w:r>
    </w:p>
    <w:p/>
    <w:p>
      <w:r>
        <w:rPr>
          <w:b/>
        </w:rPr>
        <w:t xml:space="preserve">Estimated runtime: </w:t>
      </w:r>
      <w:r>
        <w:t>~3–6 hours per full set on cloud VM.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