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2981392"/>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2981392"/>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334780"/>
            <wp:docPr id="2" name="Picture 2"/>
            <wp:cNvGraphicFramePr>
              <a:graphicFrameLocks noChangeAspect="1"/>
            </wp:cNvGraphicFramePr>
            <a:graphic>
              <a:graphicData uri="http://schemas.openxmlformats.org/drawingml/2006/picture">
                <pic:pic>
                  <pic:nvPicPr>
                    <pic:cNvPr id="0" name="01_cost_heatmaps.png"/>
                    <pic:cNvPicPr/>
                  </pic:nvPicPr>
                  <pic:blipFill>
                    <a:blip r:embed="rId10"/>
                    <a:stretch>
                      <a:fillRect/>
                    </a:stretch>
                  </pic:blipFill>
                  <pic:spPr>
                    <a:xfrm>
                      <a:off x="0" y="0"/>
                      <a:ext cx="5029200" cy="3334780"/>
                    </a:xfrm>
                    <a:prstGeom prst="rect"/>
                  </pic:spPr>
                </pic:pic>
              </a:graphicData>
            </a:graphic>
          </wp:inline>
        </w:drawing>
      </w:r>
    </w:p>
    <w:p>
      <w:pPr>
        <w:jc w:val="center"/>
      </w:pPr>
      <w:r>
        <w:rPr>
          <w:i/>
          <w:sz w:val="18"/>
        </w:rPr>
        <w:t>Figure 1.2: Asymmetric setup cost matrix heatmaps. Darker cells indicate higher transition costs. The asymmetry is visible in the non-symmetric pattern across the diagonal.</w:t>
      </w:r>
    </w:p>
    <w:p>
      <w:r>
        <w:drawing>
          <wp:inline xmlns:a="http://schemas.openxmlformats.org/drawingml/2006/main" xmlns:pic="http://schemas.openxmlformats.org/drawingml/2006/picture">
            <wp:extent cx="5029200" cy="2983080"/>
            <wp:docPr id="3" name="Picture 3"/>
            <wp:cNvGraphicFramePr>
              <a:graphicFrameLocks noChangeAspect="1"/>
            </wp:cNvGraphicFramePr>
            <a:graphic>
              <a:graphicData uri="http://schemas.openxmlformats.org/drawingml/2006/picture">
                <pic:pic>
                  <pic:nvPicPr>
                    <pic:cNvPr id="0" name="01_proc_distributions.png"/>
                    <pic:cNvPicPr/>
                  </pic:nvPicPr>
                  <pic:blipFill>
                    <a:blip r:embed="rId11"/>
                    <a:stretch>
                      <a:fillRect/>
                    </a:stretch>
                  </pic:blipFill>
                  <pic:spPr>
                    <a:xfrm>
                      <a:off x="0" y="0"/>
                      <a:ext cx="5029200" cy="2983080"/>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229080"/>
            <wp:docPr id="4" name="Picture 4"/>
            <wp:cNvGraphicFramePr>
              <a:graphicFrameLocks noChangeAspect="1"/>
            </wp:cNvGraphicFramePr>
            <a:graphic>
              <a:graphicData uri="http://schemas.openxmlformats.org/drawingml/2006/picture">
                <pic:pic>
                  <pic:nvPicPr>
                    <pic:cNvPr id="0" name="01_duedates_vs_completion.png"/>
                    <pic:cNvPicPr/>
                  </pic:nvPicPr>
                  <pic:blipFill>
                    <a:blip r:embed="rId12"/>
                    <a:stretch>
                      <a:fillRect/>
                    </a:stretch>
                  </pic:blipFill>
                  <pic:spPr>
                    <a:xfrm>
                      <a:off x="0" y="0"/>
                      <a:ext cx="5029200" cy="3229080"/>
                    </a:xfrm>
                    <a:prstGeom prst="rect"/>
                  </pic:spPr>
                </pic:pic>
              </a:graphicData>
            </a:graphic>
          </wp:inline>
        </w:drawing>
      </w:r>
    </w:p>
    <w:p>
      <w:pPr>
        <w:jc w:val="center"/>
      </w:pPr>
      <w:r>
        <w:rPr>
          <w:i/>
          <w:sz w:val="18"/>
        </w:rPr>
        <w:t>Figure 1.4: Due dates vs completion times for a representative instance. Jobs above the diagonal are completed after their due date, incurring tardiness penalties.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5" name="Picture 5"/>
            <wp:cNvGraphicFramePr>
              <a:graphicFrameLocks noChangeAspect="1"/>
            </wp:cNvGraphicFramePr>
            <a:graphic>
              <a:graphicData uri="http://schemas.openxmlformats.org/drawingml/2006/picture">
                <pic:pic>
                  <pic:nvPicPr>
                    <pic:cNvPr id="0" name="02_heuristic_comparison.png"/>
                    <pic:cNvPicPr/>
                  </pic:nvPicPr>
                  <pic:blipFill>
                    <a:blip r:embed="rId13"/>
                    <a:stretch>
                      <a:fillRect/>
                    </a:stretch>
                  </pic:blipFill>
                  <pic:spPr>
                    <a:xfrm>
                      <a:off x="0" y="0"/>
                      <a:ext cx="5029200" cy="2468695"/>
                    </a:xfrm>
                    <a:prstGeom prst="rect"/>
                  </pic:spPr>
                </pic:pic>
              </a:graphicData>
            </a:graphic>
          </wp:inline>
        </w:drawing>
      </w:r>
    </w:p>
    <w:p>
      <w:pPr>
        <w:jc w:val="center"/>
      </w:pPr>
      <w:r>
        <w:rPr>
          <w:i/>
          <w:sz w:val="18"/>
        </w:rPr>
        <w:t>Figure 2.1: Heuristic performance comparison on a representative n5_m1 instance (lower is better). SPT achieves composite 0.268, weighted tardiness 27.7, and setup cost 99.9. NN-Greedy achieves composite 0.301, tardiness 348.9, and setup cost 26.2. SPT minimises tardiness at the expense of setup cost; NN-Greedy minimises setup cost at the expense of tardiness.</w:t>
      </w:r>
    </w:p>
    <w:p>
      <w:r>
        <w:drawing>
          <wp:inline xmlns:a="http://schemas.openxmlformats.org/drawingml/2006/main" xmlns:pic="http://schemas.openxmlformats.org/drawingml/2006/picture">
            <wp:extent cx="5029200" cy="1324363"/>
            <wp:docPr id="6" name="Picture 6"/>
            <wp:cNvGraphicFramePr>
              <a:graphicFrameLocks noChangeAspect="1"/>
            </wp:cNvGraphicFramePr>
            <a:graphic>
              <a:graphicData uri="http://schemas.openxmlformats.org/drawingml/2006/picture">
                <pic:pic>
                  <pic:nvPicPr>
                    <pic:cNvPr id="0" name="02_gantt_heuristics.png"/>
                    <pic:cNvPicPr/>
                  </pic:nvPicPr>
                  <pic:blipFill>
                    <a:blip r:embed="rId14"/>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7" name="Picture 7"/>
            <wp:cNvGraphicFramePr>
              <a:graphicFrameLocks noChangeAspect="1"/>
            </wp:cNvGraphicFramePr>
            <a:graphic>
              <a:graphicData uri="http://schemas.openxmlformats.org/drawingml/2006/picture">
                <pic:pic>
                  <pic:nvPicPr>
                    <pic:cNvPr id="0" name="03_convergence_curves.png"/>
                    <pic:cNvPicPr/>
                  </pic:nvPicPr>
                  <pic:blipFill>
                    <a:blip r:embed="rId15"/>
                    <a:stretch>
                      <a:fillRect/>
                    </a:stretch>
                  </pic:blipFill>
                  <pic:spPr>
                    <a:xfrm>
                      <a:off x="0" y="0"/>
                      <a:ext cx="5029200" cy="1623550"/>
                    </a:xfrm>
                    <a:prstGeom prst="rect"/>
                  </pic:spPr>
                </pic:pic>
              </a:graphicData>
            </a:graphic>
          </wp:inline>
        </w:drawing>
      </w:r>
    </w:p>
    <w:p>
      <w:pPr>
        <w:jc w:val="center"/>
      </w:pPr>
      <w:r>
        <w:rPr>
          <w:i/>
          <w:sz w:val="18"/>
        </w:rPr>
        <w:t>Figure 3.1: GA convergence curves across population sizes and hyperparameter settings (lower is better). Convergence rate depends on population size: larger populations converge more slowly but reach better final fitness. The optimal setting (200 generations, population 100, cx=0.7) achieves fitness 0.151.</w:t>
      </w:r>
    </w:p>
    <w:p>
      <w:r>
        <w:drawing>
          <wp:inline xmlns:a="http://schemas.openxmlformats.org/drawingml/2006/main" xmlns:pic="http://schemas.openxmlformats.org/drawingml/2006/picture">
            <wp:extent cx="5029200" cy="3199999"/>
            <wp:docPr id="8" name="Picture 8"/>
            <wp:cNvGraphicFramePr>
              <a:graphicFrameLocks noChangeAspect="1"/>
            </wp:cNvGraphicFramePr>
            <a:graphic>
              <a:graphicData uri="http://schemas.openxmlformats.org/drawingml/2006/picture">
                <pic:pic>
                  <pic:nvPicPr>
                    <pic:cNvPr id="0" name="03_fitness_heatmap.png"/>
                    <pic:cNvPicPr/>
                  </pic:nvPicPr>
                  <pic:blipFill>
                    <a:blip r:embed="rId16"/>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9" name="Picture 9"/>
            <wp:cNvGraphicFramePr>
              <a:graphicFrameLocks noChangeAspect="1"/>
            </wp:cNvGraphicFramePr>
            <a:graphic>
              <a:graphicData uri="http://schemas.openxmlformats.org/drawingml/2006/picture">
                <pic:pic>
                  <pic:nvPicPr>
                    <pic:cNvPr id="0" name="05_improvement_bars.png"/>
                    <pic:cNvPicPr/>
                  </pic:nvPicPr>
                  <pic:blipFill>
                    <a:blip r:embed="rId17"/>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2820480"/>
            <wp:docPr id="10" name="Picture 10"/>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2820480"/>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1" name="Picture 11"/>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4.2: Gantt chart comparison (SPT vs GA vs Hybrid) on n50_m1 seed=28 (lower is better). SPT achieves composite 0.356, GA 0.285, and Hybrid 0.260.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2" name="Picture 12"/>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4.3: Convergence curves (GA vs Hybrid) on n50_m1 seed=28 (lower is better). Hybrid converges to final composite 0.185 versus GA 0.272, a 32% improvement. The Hybrid curve shows a smoother, more consistent descent, while the GA best fitness oscillates per generation.</w:t>
      </w:r>
    </w:p>
    <w:p>
      <w:r>
        <w:drawing>
          <wp:inline xmlns:a="http://schemas.openxmlformats.org/drawingml/2006/main" xmlns:pic="http://schemas.openxmlformats.org/drawingml/2006/picture">
            <wp:extent cx="5029200" cy="1786116"/>
            <wp:docPr id="13" name="Picture 13"/>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Across 10 episodes: Insertion 100% early → 78% middle → 30% late; Inversion 0% → 22% → 70%; Swap 0% throughout.</w:t>
      </w:r>
    </w:p>
    <w:p>
      <w:r>
        <w:drawing>
          <wp:inline xmlns:a="http://schemas.openxmlformats.org/drawingml/2006/main" xmlns:pic="http://schemas.openxmlformats.org/drawingml/2006/picture">
            <wp:extent cx="5029200" cy="1111956"/>
            <wp:docPr id="14" name="Picture 14"/>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After 100k timesteps: explained variance 0.994, value loss 0.002, indicating stable convergence.</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2820480"/>
            <wp:docPr id="15" name="Picture 15"/>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2820480"/>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3740974"/>
            <wp:docPr id="16" name="Picture 16"/>
            <wp:cNvGraphicFramePr>
              <a:graphicFrameLocks noChangeAspect="1"/>
            </wp:cNvGraphicFramePr>
            <a:graphic>
              <a:graphicData uri="http://schemas.openxmlformats.org/drawingml/2006/picture">
                <pic:pic>
                  <pic:nvPicPr>
                    <pic:cNvPr id="0" name="05_scatter_tardiness_setup.png"/>
                    <pic:cNvPicPr/>
                  </pic:nvPicPr>
                  <pic:blipFill>
                    <a:blip r:embed="rId23"/>
                    <a:stretch>
                      <a:fillRect/>
                    </a:stretch>
                  </pic:blipFill>
                  <pic:spPr>
                    <a:xfrm>
                      <a:off x="0" y="0"/>
                      <a:ext cx="5029200" cy="3740974"/>
                    </a:xfrm>
                    <a:prstGeom prst="rect"/>
                  </pic:spPr>
                </pic:pic>
              </a:graphicData>
            </a:graphic>
          </wp:inline>
        </w:drawing>
      </w:r>
    </w:p>
    <w:p>
      <w:pPr>
        <w:jc w:val="center"/>
      </w:pPr>
      <w:r>
        <w:rPr>
          <w:i/>
          <w:sz w:val="18"/>
        </w:rPr>
        <w:t>Figure 5.5: Scatter plot of weighted tardiness versus setup cost for GA (blue) and Hybrid (orange) on n50_m1 (50 seeds each, lower is better — closer to origin). GA solutions scatter across weighted tardiness 218–1395 and setup cost 234–544. Hybrid clusters tightly at tardiness 308–864 and setup cost 131–271.</w:t>
      </w:r>
    </w:p>
    <w:p>
      <w:r>
        <w:drawing>
          <wp:inline xmlns:a="http://schemas.openxmlformats.org/drawingml/2006/main" xmlns:pic="http://schemas.openxmlformats.org/drawingml/2006/picture">
            <wp:extent cx="5029200" cy="1560786"/>
            <wp:docPr id="17" name="Picture 17"/>
            <wp:cNvGraphicFramePr>
              <a:graphicFrameLocks noChangeAspect="1"/>
            </wp:cNvGraphicFramePr>
            <a:graphic>
              <a:graphicData uri="http://schemas.openxmlformats.org/drawingml/2006/picture">
                <pic:pic>
                  <pic:nvPicPr>
                    <pic:cNvPr id="0" name="05_sensitivity_alpha.png"/>
                    <pic:cNvPicPr/>
                  </pic:nvPicPr>
                  <pic:blipFill>
                    <a:blip r:embed="rId24"/>
                    <a:stretch>
                      <a:fillRect/>
                    </a:stretch>
                  </pic:blipFill>
                  <pic:spPr>
                    <a:xfrm>
                      <a:off x="0" y="0"/>
                      <a:ext cx="5029200" cy="1560786"/>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8" name="Picture 18"/>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19" name="Picture 19"/>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0" name="Picture 20"/>
            <wp:cNvGraphicFramePr>
              <a:graphicFrameLocks noChangeAspect="1"/>
            </wp:cNvGraphicFramePr>
            <a:graphic>
              <a:graphicData uri="http://schemas.openxmlformats.org/drawingml/2006/picture">
                <pic:pic>
                  <pic:nvPicPr>
                    <pic:cNvPr id="0" name="05_nn_greedy_failures.png"/>
                    <pic:cNvPicPr/>
                  </pic:nvPicPr>
                  <pic:blipFill>
                    <a:blip r:embed="rId25"/>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On n50_m5, NN-Greedy worst-case composite is 2.6× the Hybrid mean. GA and Hybrid worst cases remain within 1.5× their respective means (lower is better).</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1" name="Picture 21"/>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6.1: Convergence comparison on n50_m1 seed=28 (lower is better). Hybrid converges to 0.185 versus GA 0.272, a 32% improvement. The Hybrid consistently outperforms GA throughout the run.</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_stability.png"/>
                    <pic:cNvPicPr/>
                  </pic:nvPicPr>
                  <pic:blipFill>
                    <a:blip r:embed="rId26"/>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GA oscillates across a fitness range of 0.272; Hybrid range is 0.219, converging to 0.185 versus GA 0.272. The Hybrid's convergence is smoother and more predictable, with less inter-generation oscillation.</w:t>
      </w:r>
    </w:p>
    <w:p>
      <w:r>
        <w:drawing>
          <wp:inline xmlns:a="http://schemas.openxmlformats.org/drawingml/2006/main" xmlns:pic="http://schemas.openxmlformats.org/drawingml/2006/picture">
            <wp:extent cx="5029200" cy="4006788"/>
            <wp:docPr id="23" name="Picture 23"/>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multi_5m.png"/>
                    <pic:cNvPicPr/>
                  </pic:nvPicPr>
                  <pic:blipFill>
                    <a:blip r:embed="rId27"/>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5" name="Picture 25"/>
            <wp:cNvGraphicFramePr>
              <a:graphicFrameLocks noChangeAspect="1"/>
            </wp:cNvGraphicFramePr>
            <a:graphic>
              <a:graphicData uri="http://schemas.openxmlformats.org/drawingml/2006/picture">
                <pic:pic>
                  <pic:nvPicPr>
                    <pic:cNvPr id="0" name="06_gantt_multi_10m_100.png"/>
                    <pic:cNvPicPr/>
                  </pic:nvPicPr>
                  <pic:blipFill>
                    <a:blip r:embed="rId28"/>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