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Mini-rapport — Base de données vectorielle et embeddings</w:t>
      </w:r>
    </w:p>
    <w:p>
      <w:pPr>
        <w:jc w:val="center"/>
      </w:pPr>
      <w:r>
        <w:rPr>
          <w:i/>
          <w:sz w:val="24"/>
        </w:rPr>
        <w:t>Classification d’un article Word : sport ou cuisine</w:t>
      </w:r>
    </w:p>
    <w:p>
      <w:pPr>
        <w:pStyle w:val="Heading1"/>
      </w:pPr>
      <w:r>
        <w:t>1. Objectif et solution retenue</w:t>
      </w:r>
    </w:p>
    <w:p>
      <w:r>
        <w:rPr>
          <w:b/>
        </w:rPr>
        <w:t xml:space="preserve">Objectif. </w:t>
      </w:r>
      <w:r>
        <w:t>Le programme lit un article au format Word (.docx), tokenise son contenu en ignorant la ponctuation, génère un embedding sémantique, puis détermine si l’article est plus proche de la catégorie sport ou de la catégorie cuisine.</w:t>
      </w:r>
    </w:p>
    <w:p>
      <w:r>
        <w:rPr>
          <w:b/>
        </w:rPr>
        <w:t xml:space="preserve">Architecture. </w:t>
      </w:r>
      <w:r>
        <w:t>Le notebook utilise Sentence-Transformers pour produire des embeddings et FAISS pour stocker et rechercher les vecteurs de référence. Le choix de FAISS et d’un index IndexFlatL2 suit la théorie du cours : pour un petit nombre de vecteurs, la recherche exhaustive est simple et exacte. Les embeddings sont normalisés ; dans ce cas, la distance L2 et la similarité cosinus conduisent au même ordre de proximité.</w:t>
      </w:r>
    </w:p>
    <w:p>
      <w:r>
        <w:rPr>
          <w:b/>
        </w:rPr>
        <w:t xml:space="preserve">Choix du modèle. </w:t>
      </w:r>
      <w:r>
        <w:t>Le modèle paraphrase-multilingual-MiniLM-L12-v2 est utilisé à la place de l’exemple all-MiniLM-L6-v2 du cours, car les articles de test sont en français. Cet écart conserve la même famille de méthodes (Sentence-Transformers) tout en étant mieux adapté à la langue des données.</w:t>
      </w:r>
    </w:p>
    <w:p>
      <w:pPr>
        <w:pStyle w:val="Heading1"/>
      </w:pPr>
      <w:r>
        <w:t>2. Utilisation de l’IA générative</w:t>
      </w:r>
    </w:p>
    <w:p>
      <w:r>
        <w:t>Une IA générative (ChatGPT) a été utilisée comme outil d’assistance pendant le développement. Elle a notamment servi à :</w:t>
      </w:r>
    </w:p>
    <w:p>
      <w:pPr>
        <w:pStyle w:val="ListBullet"/>
      </w:pPr>
      <w:r>
        <w:t>proposer une première version de la fonction de tokenisation qui ignore la ponctuation tout en conservant les caractères accentués ;</w:t>
      </w:r>
    </w:p>
    <w:p>
      <w:pPr>
        <w:pStyle w:val="ListBullet"/>
      </w:pPr>
      <w:r>
        <w:t>aider à structurer le notebook et à séparer les responsabilités en fonctions ;</w:t>
      </w:r>
    </w:p>
    <w:p>
      <w:pPr>
        <w:pStyle w:val="ListBullet"/>
      </w:pPr>
      <w:r>
        <w:t>générer des articles de test synthétiques dans les deux catégories ;</w:t>
      </w:r>
    </w:p>
    <w:p>
      <w:pPr>
        <w:pStyle w:val="ListBullet"/>
      </w:pPr>
      <w:r>
        <w:t>relire les explications et formuler les limites du système.</w:t>
      </w:r>
    </w:p>
    <w:p>
      <w:r>
        <w:rPr>
          <w:b/>
        </w:rPr>
        <w:t xml:space="preserve">Prompt de tokenisation documenté dans le notebook. </w:t>
      </w:r>
      <w:r>
        <w:t>L’IA a reçu une demande explicite pour créer une fonction Python transformant un texte français en minuscules, ignorant la ponctuation, conservant les lettres accentuées et les chiffres, et renvoyant une liste de tokens sans bibliothèque NLP. La proposition n’a pas été acceptée aveuglément : des assertions vérifient son comportement sur un exemple contenant une apostrophe, un tiret, de la ponctuation, des majuscules et des accents.</w:t>
      </w:r>
    </w:p>
    <w:p>
      <w:r>
        <w:rPr>
          <w:b/>
        </w:rPr>
        <w:t xml:space="preserve">Important. </w:t>
      </w:r>
      <w:r>
        <w:t>Aucune API d’IA générative n’est nécessaire au moment de l’exécution du notebook. L’IA a aidé à produire et vérifier le code pendant le développement. Le programme final reste reproductible : la classification elle-même repose sur Sentence-Transformers et FAISS.</w:t>
      </w:r>
    </w:p>
    <w:p>
      <w:pPr>
        <w:pStyle w:val="Heading1"/>
      </w:pPr>
      <w:r>
        <w:t>3. Analyse réflexive de l’utilisation de l’IA</w:t>
      </w:r>
    </w:p>
    <w:p>
      <w:r>
        <w:rPr>
          <w:b/>
        </w:rPr>
        <w:t xml:space="preserve">Apports. </w:t>
      </w:r>
      <w:r>
        <w:t>L’IA générative a accéléré la mise en place de la structure, a proposé des cas de test et a permis de reformuler rapidement certaines explications. Elle est particulièrement utile comme outil de prototypage lorsque les exigences sont clairement formulées.</w:t>
      </w:r>
    </w:p>
    <w:p>
      <w:r>
        <w:rPr>
          <w:b/>
        </w:rPr>
        <w:t xml:space="preserve">Risques. </w:t>
      </w:r>
      <w:r>
        <w:t>Une réponse générée peut être syntaxiquement correcte tout en étant conceptuellement mauvaise ou inadaptée au cours. Elle peut aussi inventer des fonctions, masquer des hypothèses ou donner une confiance excessive. C’est pourquoi chaque choix important a été rapproché des notions vues au cours : embeddings denses, normalisation, distance L2 et index FAISS.</w:t>
      </w:r>
    </w:p>
    <w:p>
      <w:r>
        <w:rPr>
          <w:b/>
        </w:rPr>
        <w:t xml:space="preserve">Biais d’évaluation. </w:t>
      </w:r>
      <w:r>
        <w:t>Un point critique est que l’IA a également aidé à produire des textes de référence et des fichiers de test. Des textes générés dans un même contexte peuvent partager un style ou un vocabulaire, ce qui risque de rendre les tests artificiellement faciles. Une bonne performance sur ces tests ne suffit donc pas à démontrer une généralisation sur de vrais articles de presse.</w:t>
      </w:r>
    </w:p>
    <w:p>
      <w:r>
        <w:rPr>
          <w:b/>
        </w:rPr>
        <w:t xml:space="preserve">Mesures de contrôle. </w:t>
      </w:r>
      <w:r>
        <w:t>Le notebook affiche les références les plus proches, le score de chaque classe et l’écart entre les scores. Cela permet de contrôler le raisonnement du système au lieu de considérer uniquement l’étiquette finale. Une amélioration importante serait d’ajouter des articles réels ou rédigés indépendamment, non utilisés lors de la conception de la base de références.</w:t>
      </w:r>
    </w:p>
    <w:p>
      <w:r>
        <w:br w:type="page"/>
      </w:r>
    </w:p>
    <w:p>
      <w:pPr>
        <w:pStyle w:val="Heading1"/>
      </w:pPr>
      <w:r>
        <w:t>4. Organisation des tests</w:t>
      </w:r>
    </w:p>
    <w:p>
      <w:r>
        <w:t>Les fichiers de test sont placés dans le sous-répertoire tests/. L’étiquette attendue est enregistrée dans le notebook et n’est pas écrite dans le contenu du document, afin d’éviter une fuite triviale d’information.</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948"/>
            <w:shd w:fill="D9EAF7"/>
            <w:vAlign w:val="center"/>
          </w:tcPr>
          <w:p>
            <w:r>
              <w:rPr>
                <w:sz w:val="17"/>
              </w:rPr>
              <w:t>Fichier</w:t>
            </w:r>
          </w:p>
        </w:tc>
        <w:tc>
          <w:tcPr>
            <w:tcW w:type="dxa" w:w="1474"/>
            <w:shd w:fill="D9EAF7"/>
            <w:vAlign w:val="center"/>
          </w:tcPr>
          <w:p>
            <w:r>
              <w:rPr>
                <w:sz w:val="17"/>
              </w:rPr>
              <w:t>Classe attendue</w:t>
            </w:r>
          </w:p>
        </w:tc>
        <w:tc>
          <w:tcPr>
            <w:tcW w:type="dxa" w:w="1361"/>
            <w:shd w:fill="D9EAF7"/>
            <w:vAlign w:val="center"/>
          </w:tcPr>
          <w:p>
            <w:r>
              <w:rPr>
                <w:sz w:val="17"/>
              </w:rPr>
              <w:t>Type de cas</w:t>
            </w:r>
          </w:p>
        </w:tc>
        <w:tc>
          <w:tcPr>
            <w:tcW w:type="dxa" w:w="3515"/>
            <w:shd w:fill="D9EAF7"/>
            <w:vAlign w:val="center"/>
          </w:tcPr>
          <w:p>
            <w:r>
              <w:rPr>
                <w:sz w:val="17"/>
              </w:rPr>
              <w:t>But du test</w:t>
            </w:r>
          </w:p>
        </w:tc>
      </w:tr>
      <w:tr>
        <w:tc>
          <w:tcPr>
            <w:tcW w:type="dxa" w:w="2948"/>
            <w:vAlign w:val="center"/>
          </w:tcPr>
          <w:p>
            <w:r>
              <w:rPr>
                <w:sz w:val="17"/>
              </w:rPr>
              <w:t>test_sport_football.docx</w:t>
            </w:r>
          </w:p>
        </w:tc>
        <w:tc>
          <w:tcPr>
            <w:tcW w:type="dxa" w:w="1474"/>
            <w:vAlign w:val="center"/>
          </w:tcPr>
          <w:p>
            <w:r>
              <w:rPr>
                <w:sz w:val="17"/>
              </w:rPr>
              <w:t>sport</w:t>
            </w:r>
          </w:p>
        </w:tc>
        <w:tc>
          <w:tcPr>
            <w:tcW w:type="dxa" w:w="1361"/>
            <w:vAlign w:val="center"/>
          </w:tcPr>
          <w:p>
            <w:r>
              <w:rPr>
                <w:sz w:val="17"/>
              </w:rPr>
              <w:t>nominal</w:t>
            </w:r>
          </w:p>
        </w:tc>
        <w:tc>
          <w:tcPr>
            <w:tcW w:type="dxa" w:w="3515"/>
            <w:vAlign w:val="center"/>
          </w:tcPr>
          <w:p>
            <w:r>
              <w:rPr>
                <w:sz w:val="17"/>
              </w:rPr>
              <w:t>Vocabulaire de match et de football</w:t>
            </w:r>
          </w:p>
        </w:tc>
      </w:tr>
      <w:tr>
        <w:tc>
          <w:tcPr>
            <w:tcW w:type="dxa" w:w="2948"/>
            <w:vAlign w:val="center"/>
          </w:tcPr>
          <w:p>
            <w:r>
              <w:rPr>
                <w:sz w:val="17"/>
              </w:rPr>
              <w:t>test_sport_tennis.docx</w:t>
            </w:r>
          </w:p>
        </w:tc>
        <w:tc>
          <w:tcPr>
            <w:tcW w:type="dxa" w:w="1474"/>
            <w:vAlign w:val="center"/>
          </w:tcPr>
          <w:p>
            <w:r>
              <w:rPr>
                <w:sz w:val="17"/>
              </w:rPr>
              <w:t>sport</w:t>
            </w:r>
          </w:p>
        </w:tc>
        <w:tc>
          <w:tcPr>
            <w:tcW w:type="dxa" w:w="1361"/>
            <w:vAlign w:val="center"/>
          </w:tcPr>
          <w:p>
            <w:r>
              <w:rPr>
                <w:sz w:val="17"/>
              </w:rPr>
              <w:t>nominal</w:t>
            </w:r>
          </w:p>
        </w:tc>
        <w:tc>
          <w:tcPr>
            <w:tcW w:type="dxa" w:w="3515"/>
            <w:vAlign w:val="center"/>
          </w:tcPr>
          <w:p>
            <w:r>
              <w:rPr>
                <w:sz w:val="17"/>
              </w:rPr>
              <w:t>Autre discipline sportive</w:t>
            </w:r>
          </w:p>
        </w:tc>
      </w:tr>
      <w:tr>
        <w:tc>
          <w:tcPr>
            <w:tcW w:type="dxa" w:w="2948"/>
            <w:vAlign w:val="center"/>
          </w:tcPr>
          <w:p>
            <w:r>
              <w:rPr>
                <w:sz w:val="17"/>
              </w:rPr>
              <w:t>test_sport_cycling.docx</w:t>
            </w:r>
          </w:p>
        </w:tc>
        <w:tc>
          <w:tcPr>
            <w:tcW w:type="dxa" w:w="1474"/>
            <w:vAlign w:val="center"/>
          </w:tcPr>
          <w:p>
            <w:r>
              <w:rPr>
                <w:sz w:val="17"/>
              </w:rPr>
              <w:t>sport</w:t>
            </w:r>
          </w:p>
        </w:tc>
        <w:tc>
          <w:tcPr>
            <w:tcW w:type="dxa" w:w="1361"/>
            <w:vAlign w:val="center"/>
          </w:tcPr>
          <w:p>
            <w:r>
              <w:rPr>
                <w:sz w:val="17"/>
              </w:rPr>
              <w:t>nominal</w:t>
            </w:r>
          </w:p>
        </w:tc>
        <w:tc>
          <w:tcPr>
            <w:tcW w:type="dxa" w:w="3515"/>
            <w:vAlign w:val="center"/>
          </w:tcPr>
          <w:p>
            <w:r>
              <w:rPr>
                <w:sz w:val="17"/>
              </w:rPr>
              <w:t>Course, peloton, arrivée</w:t>
            </w:r>
          </w:p>
        </w:tc>
      </w:tr>
      <w:tr>
        <w:tc>
          <w:tcPr>
            <w:tcW w:type="dxa" w:w="2948"/>
            <w:vAlign w:val="center"/>
          </w:tcPr>
          <w:p>
            <w:r>
              <w:rPr>
                <w:sz w:val="17"/>
              </w:rPr>
              <w:t>test_sport_basketball.docx</w:t>
            </w:r>
          </w:p>
        </w:tc>
        <w:tc>
          <w:tcPr>
            <w:tcW w:type="dxa" w:w="1474"/>
            <w:vAlign w:val="center"/>
          </w:tcPr>
          <w:p>
            <w:r>
              <w:rPr>
                <w:sz w:val="17"/>
              </w:rPr>
              <w:t>sport</w:t>
            </w:r>
          </w:p>
        </w:tc>
        <w:tc>
          <w:tcPr>
            <w:tcW w:type="dxa" w:w="1361"/>
            <w:vAlign w:val="center"/>
          </w:tcPr>
          <w:p>
            <w:r>
              <w:rPr>
                <w:sz w:val="17"/>
              </w:rPr>
              <w:t>nominal</w:t>
            </w:r>
          </w:p>
        </w:tc>
        <w:tc>
          <w:tcPr>
            <w:tcW w:type="dxa" w:w="3515"/>
            <w:vAlign w:val="center"/>
          </w:tcPr>
          <w:p>
            <w:r>
              <w:rPr>
                <w:sz w:val="17"/>
              </w:rPr>
              <w:t>Sport collectif différent du football</w:t>
            </w:r>
          </w:p>
        </w:tc>
      </w:tr>
      <w:tr>
        <w:tc>
          <w:tcPr>
            <w:tcW w:type="dxa" w:w="2948"/>
            <w:vAlign w:val="center"/>
          </w:tcPr>
          <w:p>
            <w:r>
              <w:rPr>
                <w:sz w:val="17"/>
              </w:rPr>
              <w:t>test_cuisine_pasta.docx</w:t>
            </w:r>
          </w:p>
        </w:tc>
        <w:tc>
          <w:tcPr>
            <w:tcW w:type="dxa" w:w="1474"/>
            <w:vAlign w:val="center"/>
          </w:tcPr>
          <w:p>
            <w:r>
              <w:rPr>
                <w:sz w:val="17"/>
              </w:rPr>
              <w:t>cuisine</w:t>
            </w:r>
          </w:p>
        </w:tc>
        <w:tc>
          <w:tcPr>
            <w:tcW w:type="dxa" w:w="1361"/>
            <w:vAlign w:val="center"/>
          </w:tcPr>
          <w:p>
            <w:r>
              <w:rPr>
                <w:sz w:val="17"/>
              </w:rPr>
              <w:t>nominal</w:t>
            </w:r>
          </w:p>
        </w:tc>
        <w:tc>
          <w:tcPr>
            <w:tcW w:type="dxa" w:w="3515"/>
            <w:vAlign w:val="center"/>
          </w:tcPr>
          <w:p>
            <w:r>
              <w:rPr>
                <w:sz w:val="17"/>
              </w:rPr>
              <w:t>Recette, cuisson, ingrédients</w:t>
            </w:r>
          </w:p>
        </w:tc>
      </w:tr>
      <w:tr>
        <w:tc>
          <w:tcPr>
            <w:tcW w:type="dxa" w:w="2948"/>
            <w:vAlign w:val="center"/>
          </w:tcPr>
          <w:p>
            <w:r>
              <w:rPr>
                <w:sz w:val="17"/>
              </w:rPr>
              <w:t>test_cuisine_pastry.docx</w:t>
            </w:r>
          </w:p>
        </w:tc>
        <w:tc>
          <w:tcPr>
            <w:tcW w:type="dxa" w:w="1474"/>
            <w:vAlign w:val="center"/>
          </w:tcPr>
          <w:p>
            <w:r>
              <w:rPr>
                <w:sz w:val="17"/>
              </w:rPr>
              <w:t>cuisine</w:t>
            </w:r>
          </w:p>
        </w:tc>
        <w:tc>
          <w:tcPr>
            <w:tcW w:type="dxa" w:w="1361"/>
            <w:vAlign w:val="center"/>
          </w:tcPr>
          <w:p>
            <w:r>
              <w:rPr>
                <w:sz w:val="17"/>
              </w:rPr>
              <w:t>nominal</w:t>
            </w:r>
          </w:p>
        </w:tc>
        <w:tc>
          <w:tcPr>
            <w:tcW w:type="dxa" w:w="3515"/>
            <w:vAlign w:val="center"/>
          </w:tcPr>
          <w:p>
            <w:r>
              <w:rPr>
                <w:sz w:val="17"/>
              </w:rPr>
              <w:t>Pâtisserie et four</w:t>
            </w:r>
          </w:p>
        </w:tc>
      </w:tr>
      <w:tr>
        <w:tc>
          <w:tcPr>
            <w:tcW w:type="dxa" w:w="2948"/>
            <w:vAlign w:val="center"/>
          </w:tcPr>
          <w:p>
            <w:r>
              <w:rPr>
                <w:sz w:val="17"/>
              </w:rPr>
              <w:t>test_cuisine_soup.docx</w:t>
            </w:r>
          </w:p>
        </w:tc>
        <w:tc>
          <w:tcPr>
            <w:tcW w:type="dxa" w:w="1474"/>
            <w:vAlign w:val="center"/>
          </w:tcPr>
          <w:p>
            <w:r>
              <w:rPr>
                <w:sz w:val="17"/>
              </w:rPr>
              <w:t>cuisine</w:t>
            </w:r>
          </w:p>
        </w:tc>
        <w:tc>
          <w:tcPr>
            <w:tcW w:type="dxa" w:w="1361"/>
            <w:vAlign w:val="center"/>
          </w:tcPr>
          <w:p>
            <w:r>
              <w:rPr>
                <w:sz w:val="17"/>
              </w:rPr>
              <w:t>nominal</w:t>
            </w:r>
          </w:p>
        </w:tc>
        <w:tc>
          <w:tcPr>
            <w:tcW w:type="dxa" w:w="3515"/>
            <w:vAlign w:val="center"/>
          </w:tcPr>
          <w:p>
            <w:r>
              <w:rPr>
                <w:sz w:val="17"/>
              </w:rPr>
              <w:t>Préparation en casserole</w:t>
            </w:r>
          </w:p>
        </w:tc>
      </w:tr>
      <w:tr>
        <w:tc>
          <w:tcPr>
            <w:tcW w:type="dxa" w:w="2948"/>
            <w:vAlign w:val="center"/>
          </w:tcPr>
          <w:p>
            <w:r>
              <w:rPr>
                <w:sz w:val="17"/>
              </w:rPr>
              <w:t>test_cuisine_restaurant.docx</w:t>
            </w:r>
          </w:p>
        </w:tc>
        <w:tc>
          <w:tcPr>
            <w:tcW w:type="dxa" w:w="1474"/>
            <w:vAlign w:val="center"/>
          </w:tcPr>
          <w:p>
            <w:r>
              <w:rPr>
                <w:sz w:val="17"/>
              </w:rPr>
              <w:t>cuisine</w:t>
            </w:r>
          </w:p>
        </w:tc>
        <w:tc>
          <w:tcPr>
            <w:tcW w:type="dxa" w:w="1361"/>
            <w:vAlign w:val="center"/>
          </w:tcPr>
          <w:p>
            <w:r>
              <w:rPr>
                <w:sz w:val="17"/>
              </w:rPr>
              <w:t>nominal</w:t>
            </w:r>
          </w:p>
        </w:tc>
        <w:tc>
          <w:tcPr>
            <w:tcW w:type="dxa" w:w="3515"/>
            <w:vAlign w:val="center"/>
          </w:tcPr>
          <w:p>
            <w:r>
              <w:rPr>
                <w:sz w:val="17"/>
              </w:rPr>
              <w:t>Cuisine sans format recette classique</w:t>
            </w:r>
          </w:p>
        </w:tc>
      </w:tr>
      <w:tr>
        <w:tc>
          <w:tcPr>
            <w:tcW w:type="dxa" w:w="2948"/>
            <w:vAlign w:val="center"/>
          </w:tcPr>
          <w:p>
            <w:r>
              <w:rPr>
                <w:sz w:val="17"/>
              </w:rPr>
              <w:t>test_boundary_sport_nutrition.docx</w:t>
            </w:r>
          </w:p>
        </w:tc>
        <w:tc>
          <w:tcPr>
            <w:tcW w:type="dxa" w:w="1474"/>
            <w:vAlign w:val="center"/>
          </w:tcPr>
          <w:p>
            <w:r>
              <w:rPr>
                <w:sz w:val="17"/>
              </w:rPr>
              <w:t>sport</w:t>
            </w:r>
          </w:p>
        </w:tc>
        <w:tc>
          <w:tcPr>
            <w:tcW w:type="dxa" w:w="1361"/>
            <w:vAlign w:val="center"/>
          </w:tcPr>
          <w:p>
            <w:r>
              <w:rPr>
                <w:sz w:val="17"/>
              </w:rPr>
              <w:t>frontière</w:t>
            </w:r>
          </w:p>
        </w:tc>
        <w:tc>
          <w:tcPr>
            <w:tcW w:type="dxa" w:w="3515"/>
            <w:vAlign w:val="center"/>
          </w:tcPr>
          <w:p>
            <w:r>
              <w:rPr>
                <w:sz w:val="17"/>
              </w:rPr>
              <w:t>Présence de vocabulaire alimentaire dans un contexte sportif</w:t>
            </w:r>
          </w:p>
        </w:tc>
      </w:tr>
      <w:tr>
        <w:tc>
          <w:tcPr>
            <w:tcW w:type="dxa" w:w="2948"/>
            <w:vAlign w:val="center"/>
          </w:tcPr>
          <w:p>
            <w:r>
              <w:rPr>
                <w:sz w:val="17"/>
              </w:rPr>
              <w:t>test_boundary_cuisine_competition.docx</w:t>
            </w:r>
          </w:p>
        </w:tc>
        <w:tc>
          <w:tcPr>
            <w:tcW w:type="dxa" w:w="1474"/>
            <w:vAlign w:val="center"/>
          </w:tcPr>
          <w:p>
            <w:r>
              <w:rPr>
                <w:sz w:val="17"/>
              </w:rPr>
              <w:t>cuisine</w:t>
            </w:r>
          </w:p>
        </w:tc>
        <w:tc>
          <w:tcPr>
            <w:tcW w:type="dxa" w:w="1361"/>
            <w:vAlign w:val="center"/>
          </w:tcPr>
          <w:p>
            <w:r>
              <w:rPr>
                <w:sz w:val="17"/>
              </w:rPr>
              <w:t>frontière</w:t>
            </w:r>
          </w:p>
        </w:tc>
        <w:tc>
          <w:tcPr>
            <w:tcW w:type="dxa" w:w="3515"/>
            <w:vAlign w:val="center"/>
          </w:tcPr>
          <w:p>
            <w:r>
              <w:rPr>
                <w:sz w:val="17"/>
              </w:rPr>
              <w:t>Présence de vocabulaire de compétition dans un contexte culinaire</w:t>
            </w:r>
          </w:p>
        </w:tc>
      </w:tr>
    </w:tbl>
    <w:p/>
    <w:p>
      <w:r>
        <w:rPr>
          <w:b/>
        </w:rPr>
        <w:t xml:space="preserve">Mesures calculées. </w:t>
      </w:r>
      <w:r>
        <w:t>Le notebook calcule l’accuracy globale, affiche le tableau de résultats, une matrice de confusion, les scores sémantiques des deux classes et le confidence gap. Les cas frontière doivent être examinés en priorité si l’écart entre les scores est faible.</w:t>
      </w:r>
    </w:p>
    <w:p>
      <w:r>
        <w:rPr>
          <w:b/>
        </w:rPr>
        <w:t xml:space="preserve">Interprétation. </w:t>
      </w:r>
      <w:r>
        <w:t>Le résultat chiffré est volontairement calculé à l’exécution du notebook plutôt que figé dans ce rapport. Ainsi, le rapport ne prétend pas qu’un test a été exécuté dans un environnement où le modèle Sentence-Transformer n’aurait pas été téléchargé. La valeur observée lors de l’exécution doit être interprétée avec les limites indiquées ci-dessus.</w:t>
      </w:r>
    </w:p>
    <w:p>
      <w:r>
        <w:br w:type="page"/>
      </w:r>
    </w:p>
    <w:p>
      <w:pPr>
        <w:pStyle w:val="Heading1"/>
      </w:pPr>
      <w:r>
        <w:t>5. Correspondance avec les notions du cours</w:t>
      </w:r>
    </w:p>
    <w:p>
      <w:r>
        <w:t>La solution reprend directement les éléments suivants du cours :</w:t>
      </w:r>
    </w:p>
    <w:p>
      <w:pPr>
        <w:pStyle w:val="ListBullet"/>
      </w:pPr>
      <w:r>
        <w:t>embedding = représentation numérique dense d’un texte ;</w:t>
      </w:r>
    </w:p>
    <w:p>
      <w:pPr>
        <w:pStyle w:val="ListBullet"/>
      </w:pPr>
      <w:r>
        <w:t>Sentence-Transformers pour générer les embeddings ;</w:t>
      </w:r>
    </w:p>
    <w:p>
      <w:pPr>
        <w:pStyle w:val="ListBullet"/>
      </w:pPr>
      <w:r>
        <w:t>normalisation des vecteurs avant comparaison ;</w:t>
      </w:r>
    </w:p>
    <w:p>
      <w:pPr>
        <w:pStyle w:val="ListBullet"/>
      </w:pPr>
      <w:r>
        <w:t>distance L2 et lien avec la similarité cosinus pour des vecteurs normalisés ;</w:t>
      </w:r>
    </w:p>
    <w:p>
      <w:pPr>
        <w:pStyle w:val="ListBullet"/>
      </w:pPr>
      <w:r>
        <w:t>FAISS comme outil de recherche de voisins proches ;</w:t>
      </w:r>
    </w:p>
    <w:p>
      <w:pPr>
        <w:pStyle w:val="ListBullet"/>
      </w:pPr>
      <w:r>
        <w:t>IndexFlatL2 adapté à une petite base de vecteurs et offrant une recherche exacte.</w:t>
      </w:r>
    </w:p>
    <w:p>
      <w:pPr>
        <w:pStyle w:val="Heading1"/>
      </w:pPr>
      <w:r>
        <w:t>6. Conclusion</w:t>
      </w:r>
    </w:p>
    <w:p>
      <w:r>
        <w:t>Le notebook répond au problème demandé avec une chaîne simple et traçable : Word → texte → tokens sans ponctuation → embedding → recherche FAISS → comparaison des catégories → prédiction. L’intérêt principal est pédagogique : chaque étape correspond à une notion du cours et peut être inspectée. La limite principale est la petite taille de la base de références ; la prochaine amélioration pertinente serait de l’évaluer sur un corpus indépendant plus large.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6 — Vector Database and Embeddings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