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Un concours où la précision compte</w:t>
      </w:r>
    </w:p>
    <w:p>
      <w:pPr>
        <w:spacing w:after="160"/>
        <w:jc w:val="both"/>
      </w:pPr>
      <w:r>
        <w:t>Les candidats disposent d’une heure pour préparer une assiette à partir d’un panier d’ingrédients imposés. Chacun doit choisir une cuisson, construire une sauce et soigner le dressage avant le passage du jury.</w:t>
      </w:r>
    </w:p>
    <w:p>
      <w:pPr>
        <w:spacing w:after="160"/>
        <w:jc w:val="both"/>
      </w:pPr>
      <w:r>
        <w:t>La meilleure proposition associe un poisson rôti, une purée de légumes et une réduction parfumée. Les jurés évaluent le goût, la texture, la cuisson et l’équilibre général du plat avant d’annoncer le résultat du concours.</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Fichier de test — Phase 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