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 menu met les produits de saison à l’honneur</w:t>
      </w:r>
    </w:p>
    <w:p>
      <w:pPr>
        <w:spacing w:after="160"/>
        <w:jc w:val="both"/>
      </w:pPr>
      <w:r>
        <w:t>Le chef a construit sa nouvelle carte autour des légumes d’été, des herbes fraîches et de produits locaux. Une entrée associe tomates rôties, fromage frais et basilic, tandis que le plat principal propose un poisson accompagné d’une sauce légère.</w:t>
      </w:r>
    </w:p>
    <w:p>
      <w:pPr>
        <w:spacing w:after="160"/>
        <w:jc w:val="both"/>
      </w:pPr>
      <w:r>
        <w:t>En cuisine, l’équipe prépare les sauces le matin et réalise les cuissons à la commande. Le dessert combine des fruits, une crème peu sucrée et un biscuit croustillant afin de conserver un équilibre entre acidité et douceur.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