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 défense fait basculer la rencontre</w:t>
      </w:r>
    </w:p>
    <w:p>
      <w:pPr>
        <w:spacing w:after="160"/>
        <w:jc w:val="both"/>
      </w:pPr>
      <w:r>
        <w:t>L’équipe visiteuse a longtemps mené grâce à son adresse à trois points. Au retour des vestiaires, les locaux ont augmenté l’intensité défensive, provoqué plusieurs pertes de balle et accéléré les transitions vers le panier.</w:t>
      </w:r>
    </w:p>
    <w:p>
      <w:pPr>
        <w:spacing w:after="160"/>
        <w:jc w:val="both"/>
      </w:pPr>
      <w:r>
        <w:t>À deux minutes de la fin, un tir primé a permis de reprendre l’avantage. Le dernier temps mort a servi à organiser la possession décisive, conclue par deux lancers francs qui ont assuré la victoire.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Fichier de test — Phase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