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L’échappée résiste dans la dernière ascension</w:t>
      </w:r>
    </w:p>
    <w:p>
      <w:pPr>
        <w:spacing w:after="160"/>
        <w:jc w:val="both"/>
      </w:pPr>
      <w:r>
        <w:t>Le peloton a laissé partir un groupe de cinq coureurs dès le début de l’étape. Avec un vent favorable, l’écart a rapidement dépassé quatre minutes avant de diminuer à l’approche des premières difficultés de la journée.</w:t>
      </w:r>
    </w:p>
    <w:p>
      <w:pPr>
        <w:spacing w:after="160"/>
        <w:jc w:val="both"/>
      </w:pPr>
      <w:r>
        <w:t>Dans la montée finale, un seul coureur a conservé assez d’énergie pour accélérer. Malgré le retour des favoris dans les derniers kilomètres, il a franchi la ligne avec quelques secondes d’avance et remporte l’étape.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Fichier de test — Phase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