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Une finale disputée jusqu’au bout</w:t>
      </w:r>
    </w:p>
    <w:p>
      <w:pPr>
        <w:spacing w:after="160"/>
        <w:jc w:val="both"/>
      </w:pPr>
      <w:r>
        <w:t>La rencontre a commencé sur un rythme très élevé. Les deux équipes ont pressé dès les premières minutes, multipliant les courses et les duels au milieu du terrain. Après une première occasion repoussée par le gardien, l’attaquant local a ouvert le score sur une frappe croisée.</w:t>
      </w:r>
    </w:p>
    <w:p>
      <w:pPr>
        <w:spacing w:after="160"/>
        <w:jc w:val="both"/>
      </w:pPr>
      <w:r>
        <w:t>En seconde période, l’entraîneur adverse a modifié son dispositif et fait entrer deux joueurs offensifs. L’égalisation est arrivée sur corner, avant qu’un dernier but ne soit inscrit dans les arrêts de jeu. Le public a célébré la victoire au coup de sifflet final.</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Fichier de test — Phase 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