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RepairHub</w:t>
      </w:r>
    </w:p>
    <w:p>
      <w:pPr>
        <w:pStyle w:val="Subtitle"/>
        <w:rPr/>
      </w:pPr>
      <w:r>
        <w:rPr/>
        <w:t>Projektdokumentation</w:t>
      </w:r>
    </w:p>
    <w:p>
      <w:pPr>
        <w:pStyle w:val="Normal"/>
        <w:rPr/>
      </w:pPr>
      <w:r>
        <w:rPr/>
        <w:t>Praxisarbeit der [Schule]</w:t>
      </w:r>
    </w:p>
    <w:p>
      <w:pPr>
        <w:pStyle w:val="Normal"/>
        <w:rPr/>
      </w:pPr>
      <w:r>
        <w:rPr/>
        <w:t>Dragan Gojic</w:t>
      </w:r>
    </w:p>
    <w:p>
      <w:pPr>
        <w:pStyle w:val="Normal"/>
        <w:rPr/>
      </w:pPr>
      <w:r>
        <w:rPr/>
        <w:t>Adresse: [ergänzen]</w:t>
      </w:r>
    </w:p>
    <w:p>
      <w:pPr>
        <w:pStyle w:val="Normal"/>
        <w:rPr/>
      </w:pPr>
      <w:r>
        <w:rPr/>
        <w:t>E-Mail-Adresse: [ergänzen]</w:t>
      </w:r>
    </w:p>
    <w:p>
      <w:pPr>
        <w:pStyle w:val="Normal"/>
        <w:rPr/>
      </w:pPr>
      <w:r>
        <w:rPr/>
        <w:t>Telefonnummer: [ergänzen]</w:t>
      </w:r>
    </w:p>
    <w:p>
      <w:pPr>
        <w:pStyle w:val="Normal"/>
        <w:rPr/>
      </w:pPr>
      <w:r>
        <w:rPr/>
        <w:t>Klasse: [ergänzen]</w:t>
      </w:r>
    </w:p>
    <w:p>
      <w:pPr>
        <w:pStyle w:val="Normal"/>
        <w:rPr/>
      </w:pPr>
      <w:r>
        <w:rPr/>
        <w:t>Abgabedatum: [ergänzen]</w:t>
      </w:r>
    </w:p>
    <w:p>
      <w:pPr>
        <w:pStyle w:val="Normal"/>
        <w:rPr/>
      </w:pPr>
      <w:r>
        <w:rPr/>
        <w:t>Qualifikationsreglement: Version [ergänzen]</w:t>
      </w:r>
    </w:p>
    <w:p>
      <w:pPr>
        <w:sectPr>
          <w:headerReference w:type="default" r:id="rId2"/>
          <w:type w:val="nextPage"/>
          <w:pgSz w:w="11906" w:h="16838"/>
          <w:pgMar w:left="1701" w:right="1134" w:gutter="0" w:header="720" w:top="1417" w:footer="0" w:bottom="1417"/>
          <w:pgNumType w:fmt="decimal"/>
          <w:formProt w:val="false"/>
          <w:textDirection w:val="lrTb"/>
          <w:docGrid w:type="default" w:linePitch="360" w:charSpace="0"/>
        </w:sectPr>
        <w:pStyle w:val="Normal"/>
        <w:rPr/>
      </w:pPr>
      <w:r>
        <w:rPr/>
        <w:t>Leitfaden für schriftliche Arbeiten: Version 2.1</w:t>
      </w:r>
    </w:p>
    <w:p>
      <w:pPr>
        <w:pStyle w:val="Heading1"/>
        <w:rPr/>
      </w:pPr>
      <w:bookmarkStart w:id="0" w:name="__RefHeading___Toc8961_803372697"/>
      <w:bookmarkStart w:id="1" w:name="_Toc239707991"/>
      <w:bookmarkEnd w:id="0"/>
      <w:r>
        <w:rPr/>
        <w:t>1 Management Summary</w:t>
      </w:r>
      <w:bookmarkEnd w:id="1"/>
    </w:p>
    <w:p>
      <w:pPr>
        <w:pStyle w:val="Normal"/>
        <w:rPr/>
      </w:pPr>
      <w:r>
        <w:rPr/>
        <w:t>[Vom Verfasser zu ergänzen: höchstens eine Seite zu Vorhaben, Zielen, Ergebnissen, Plattform, Mehrwert, grösstem Risiko und weiterem Vorgehen. Der Leitfaden verlangt hier persönliche Eigenleistung; dieser Abschnitt wurde nicht durch KI ausformuliert.]</w:t>
      </w:r>
    </w:p>
    <w:sdt>
      <w:sdtPr>
        <w:docPartObj>
          <w:docPartGallery w:val="Table of Contents"/>
          <w:docPartUnique w:val="true"/>
        </w:docPartObj>
      </w:sdtPr>
      <w:sdtContent>
        <w:p>
          <w:pPr>
            <w:pStyle w:val="ContentsHeading"/>
            <w:rPr/>
          </w:pPr>
          <w:r>
            <w:rPr/>
            <w:t>Inhaltsverzeichnis</w:t>
          </w:r>
        </w:p>
        <w:p>
          <w:pPr>
            <w:pStyle w:val="Contents1"/>
            <w:tabs>
              <w:tab w:val="clear" w:pos="720"/>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8961_803372697">
            <w:r>
              <w:rPr>
                <w:webHidden/>
                <w:rStyle w:val="IndexLink"/>
              </w:rPr>
              <w:t>1 Management Summary</w:t>
              <w:tab/>
              <w:t>1</w:t>
            </w:r>
          </w:hyperlink>
        </w:p>
        <w:p>
          <w:pPr>
            <w:pStyle w:val="Contents1"/>
            <w:tabs>
              <w:tab w:val="clear" w:pos="720"/>
              <w:tab w:val="right" w:pos="9071" w:leader="dot"/>
            </w:tabs>
            <w:rPr/>
          </w:pPr>
          <w:hyperlink w:anchor="__RefHeading___Toc8963_803372697">
            <w:r>
              <w:rPr>
                <w:webHidden/>
                <w:rStyle w:val="IndexLink"/>
              </w:rPr>
              <w:t>2 Projektgrundlagen und Planung</w:t>
              <w:tab/>
              <w:t>2</w:t>
            </w:r>
          </w:hyperlink>
        </w:p>
        <w:p>
          <w:pPr>
            <w:pStyle w:val="Contents2"/>
            <w:tabs>
              <w:tab w:val="clear" w:pos="720"/>
              <w:tab w:val="right" w:pos="9071" w:leader="dot"/>
            </w:tabs>
            <w:rPr/>
          </w:pPr>
          <w:hyperlink w:anchor="__RefHeading___Toc8965_803372697">
            <w:r>
              <w:rPr>
                <w:webHidden/>
                <w:rStyle w:val="IndexLink"/>
              </w:rPr>
              <w:t>2.1 Ausgangslage und Projektauftrag</w:t>
              <w:tab/>
              <w:t>2</w:t>
            </w:r>
          </w:hyperlink>
        </w:p>
        <w:p>
          <w:pPr>
            <w:pStyle w:val="Contents2"/>
            <w:tabs>
              <w:tab w:val="clear" w:pos="720"/>
              <w:tab w:val="right" w:pos="9071" w:leader="dot"/>
            </w:tabs>
            <w:rPr/>
          </w:pPr>
          <w:hyperlink w:anchor="__RefHeading___Toc8967_803372697">
            <w:r>
              <w:rPr>
                <w:webHidden/>
                <w:rStyle w:val="IndexLink"/>
              </w:rPr>
              <w:t>2.2 Zielsetzung und Abgrenzung</w:t>
              <w:tab/>
              <w:t>2</w:t>
            </w:r>
          </w:hyperlink>
        </w:p>
        <w:p>
          <w:pPr>
            <w:pStyle w:val="Contents3"/>
            <w:tabs>
              <w:tab w:val="clear" w:pos="720"/>
              <w:tab w:val="right" w:pos="9071" w:leader="dot"/>
            </w:tabs>
            <w:rPr/>
          </w:pPr>
          <w:hyperlink w:anchor="__RefHeading___Toc8969_803372697">
            <w:r>
              <w:rPr>
                <w:webHidden/>
                <w:rStyle w:val="IndexLink"/>
              </w:rPr>
              <w:t>2.2.1 Muss-Ziele</w:t>
              <w:tab/>
              <w:t>3</w:t>
            </w:r>
          </w:hyperlink>
        </w:p>
        <w:p>
          <w:pPr>
            <w:pStyle w:val="Contents3"/>
            <w:tabs>
              <w:tab w:val="clear" w:pos="720"/>
              <w:tab w:val="right" w:pos="9071" w:leader="dot"/>
            </w:tabs>
            <w:rPr/>
          </w:pPr>
          <w:hyperlink w:anchor="__RefHeading___Toc8971_803372697">
            <w:r>
              <w:rPr>
                <w:webHidden/>
                <w:rStyle w:val="IndexLink"/>
              </w:rPr>
              <w:t>2.2.2 Kann-Ziele</w:t>
              <w:tab/>
              <w:t>3</w:t>
            </w:r>
          </w:hyperlink>
        </w:p>
        <w:p>
          <w:pPr>
            <w:pStyle w:val="Contents2"/>
            <w:tabs>
              <w:tab w:val="clear" w:pos="720"/>
              <w:tab w:val="right" w:pos="9071" w:leader="dot"/>
            </w:tabs>
            <w:rPr/>
          </w:pPr>
          <w:hyperlink w:anchor="__RefHeading___Toc8973_803372697">
            <w:r>
              <w:rPr>
                <w:webHidden/>
                <w:rStyle w:val="IndexLink"/>
              </w:rPr>
              <w:t>2.3 Vorgehensmodell und Zeitplanung</w:t>
              <w:tab/>
              <w:t>4</w:t>
            </w:r>
          </w:hyperlink>
        </w:p>
        <w:p>
          <w:pPr>
            <w:pStyle w:val="Contents2"/>
            <w:tabs>
              <w:tab w:val="clear" w:pos="720"/>
              <w:tab w:val="right" w:pos="9071" w:leader="dot"/>
            </w:tabs>
            <w:rPr/>
          </w:pPr>
          <w:hyperlink w:anchor="__RefHeading___Toc8975_803372697">
            <w:r>
              <w:rPr>
                <w:webHidden/>
                <w:rStyle w:val="IndexLink"/>
              </w:rPr>
              <w:t>2.4 Projektrisiken</w:t>
              <w:tab/>
              <w:t>5</w:t>
            </w:r>
          </w:hyperlink>
        </w:p>
        <w:p>
          <w:pPr>
            <w:pStyle w:val="Contents1"/>
            <w:tabs>
              <w:tab w:val="clear" w:pos="720"/>
              <w:tab w:val="right" w:pos="9071" w:leader="dot"/>
            </w:tabs>
            <w:rPr/>
          </w:pPr>
          <w:hyperlink w:anchor="__RefHeading___Toc8977_803372697">
            <w:r>
              <w:rPr>
                <w:webHidden/>
                <w:rStyle w:val="IndexLink"/>
              </w:rPr>
              <w:t>3 Anforderungsanalyse</w:t>
              <w:tab/>
              <w:t>6</w:t>
            </w:r>
          </w:hyperlink>
        </w:p>
        <w:p>
          <w:pPr>
            <w:pStyle w:val="Contents2"/>
            <w:tabs>
              <w:tab w:val="clear" w:pos="720"/>
              <w:tab w:val="right" w:pos="9071" w:leader="dot"/>
            </w:tabs>
            <w:rPr/>
          </w:pPr>
          <w:hyperlink w:anchor="__RefHeading___Toc8979_803372697">
            <w:r>
              <w:rPr>
                <w:webHidden/>
                <w:rStyle w:val="IndexLink"/>
              </w:rPr>
              <w:t>3.1 Funktionale Anforderungen</w:t>
              <w:tab/>
              <w:t>6</w:t>
            </w:r>
          </w:hyperlink>
        </w:p>
        <w:p>
          <w:pPr>
            <w:pStyle w:val="Contents2"/>
            <w:tabs>
              <w:tab w:val="clear" w:pos="720"/>
              <w:tab w:val="right" w:pos="9071" w:leader="dot"/>
            </w:tabs>
            <w:rPr/>
          </w:pPr>
          <w:hyperlink w:anchor="__RefHeading___Toc8981_803372697">
            <w:r>
              <w:rPr>
                <w:webHidden/>
                <w:rStyle w:val="IndexLink"/>
              </w:rPr>
              <w:t>3.2 Nichtfunktionale Anforderungen</w:t>
              <w:tab/>
              <w:t>9</w:t>
            </w:r>
          </w:hyperlink>
        </w:p>
        <w:p>
          <w:pPr>
            <w:pStyle w:val="Contents2"/>
            <w:tabs>
              <w:tab w:val="clear" w:pos="720"/>
              <w:tab w:val="right" w:pos="9071" w:leader="dot"/>
            </w:tabs>
            <w:rPr/>
          </w:pPr>
          <w:hyperlink w:anchor="__RefHeading___Toc8983_803372697">
            <w:r>
              <w:rPr>
                <w:webHidden/>
                <w:rStyle w:val="IndexLink"/>
              </w:rPr>
              <w:t>3.3 Anwendungsfälle und Abnahmekriterien</w:t>
              <w:tab/>
              <w:t>10</w:t>
            </w:r>
          </w:hyperlink>
        </w:p>
        <w:p>
          <w:pPr>
            <w:pStyle w:val="Contents1"/>
            <w:tabs>
              <w:tab w:val="clear" w:pos="720"/>
              <w:tab w:val="right" w:pos="9071" w:leader="dot"/>
            </w:tabs>
            <w:rPr/>
          </w:pPr>
          <w:hyperlink w:anchor="__RefHeading___Toc8985_803372697">
            <w:r>
              <w:rPr>
                <w:webHidden/>
                <w:rStyle w:val="IndexLink"/>
              </w:rPr>
              <w:t>4 Architektur und Lösungsentwurf</w:t>
              <w:tab/>
              <w:t>14</w:t>
            </w:r>
          </w:hyperlink>
        </w:p>
        <w:p>
          <w:pPr>
            <w:pStyle w:val="Contents2"/>
            <w:tabs>
              <w:tab w:val="clear" w:pos="720"/>
              <w:tab w:val="right" w:pos="9071" w:leader="dot"/>
            </w:tabs>
            <w:rPr/>
          </w:pPr>
          <w:hyperlink w:anchor="__RefHeading___Toc8987_803372697">
            <w:r>
              <w:rPr>
                <w:webHidden/>
                <w:rStyle w:val="IndexLink"/>
              </w:rPr>
              <w:t>4.1 Systemarchitektur und Technologiewahl</w:t>
              <w:tab/>
              <w:t>14</w:t>
            </w:r>
          </w:hyperlink>
        </w:p>
        <w:p>
          <w:pPr>
            <w:pStyle w:val="Contents2"/>
            <w:tabs>
              <w:tab w:val="clear" w:pos="720"/>
              <w:tab w:val="right" w:pos="9071" w:leader="dot"/>
            </w:tabs>
            <w:rPr/>
          </w:pPr>
          <w:hyperlink w:anchor="__RefHeading___Toc8989_803372697">
            <w:r>
              <w:rPr>
                <w:webHidden/>
                <w:rStyle w:val="IndexLink"/>
              </w:rPr>
              <w:t>4.2 Datenmodell</w:t>
              <w:tab/>
              <w:t>17</w:t>
            </w:r>
          </w:hyperlink>
        </w:p>
        <w:p>
          <w:pPr>
            <w:pStyle w:val="Contents2"/>
            <w:tabs>
              <w:tab w:val="clear" w:pos="720"/>
              <w:tab w:val="right" w:pos="9071" w:leader="dot"/>
            </w:tabs>
            <w:rPr/>
          </w:pPr>
          <w:hyperlink w:anchor="__RefHeading___Toc8991_803372697">
            <w:r>
              <w:rPr>
                <w:webHidden/>
                <w:rStyle w:val="IndexLink"/>
              </w:rPr>
              <w:t>4.3 Ablaufdiagramme und Benutzeroberfläche</w:t>
              <w:tab/>
              <w:t>18</w:t>
            </w:r>
          </w:hyperlink>
        </w:p>
        <w:p>
          <w:pPr>
            <w:pStyle w:val="Contents2"/>
            <w:tabs>
              <w:tab w:val="clear" w:pos="720"/>
              <w:tab w:val="right" w:pos="9071" w:leader="dot"/>
            </w:tabs>
            <w:rPr/>
          </w:pPr>
          <w:hyperlink w:anchor="__RefHeading___Toc8993_803372697">
            <w:r>
              <w:rPr>
                <w:webHidden/>
                <w:rStyle w:val="IndexLink"/>
              </w:rPr>
              <w:t>4.4 Bereitstellungsarchitektur und Sicherheit</w:t>
              <w:tab/>
              <w:t>20</w:t>
            </w:r>
          </w:hyperlink>
        </w:p>
        <w:p>
          <w:pPr>
            <w:pStyle w:val="Contents1"/>
            <w:tabs>
              <w:tab w:val="clear" w:pos="720"/>
              <w:tab w:val="right" w:pos="9071" w:leader="dot"/>
            </w:tabs>
            <w:rPr/>
          </w:pPr>
          <w:hyperlink w:anchor="__RefHeading___Toc8995_803372697">
            <w:r>
              <w:rPr>
                <w:webHidden/>
                <w:rStyle w:val="IndexLink"/>
              </w:rPr>
              <w:t>5 Umsetzung und Bereitstellung</w:t>
              <w:tab/>
              <w:t>25</w:t>
            </w:r>
          </w:hyperlink>
        </w:p>
        <w:p>
          <w:pPr>
            <w:pStyle w:val="Contents2"/>
            <w:tabs>
              <w:tab w:val="clear" w:pos="720"/>
              <w:tab w:val="right" w:pos="9071" w:leader="dot"/>
            </w:tabs>
            <w:rPr/>
          </w:pPr>
          <w:hyperlink w:anchor="__RefHeading___Toc8997_803372697">
            <w:r>
              <w:rPr>
                <w:webHidden/>
                <w:rStyle w:val="IndexLink"/>
              </w:rPr>
              <w:t>5.1 Projektstruktur und zentrale Implementierung</w:t>
              <w:tab/>
              <w:t>25</w:t>
            </w:r>
          </w:hyperlink>
        </w:p>
        <w:p>
          <w:pPr>
            <w:pStyle w:val="Contents2"/>
            <w:tabs>
              <w:tab w:val="clear" w:pos="720"/>
              <w:tab w:val="right" w:pos="9071" w:leader="dot"/>
            </w:tabs>
            <w:rPr/>
          </w:pPr>
          <w:hyperlink w:anchor="__RefHeading___Toc8999_803372697">
            <w:r>
              <w:rPr>
                <w:webHidden/>
                <w:rStyle w:val="IndexLink"/>
              </w:rPr>
              <w:t>5.2 Geschäftslogik und REST API</w:t>
              <w:tab/>
              <w:t>25</w:t>
            </w:r>
          </w:hyperlink>
        </w:p>
        <w:p>
          <w:pPr>
            <w:pStyle w:val="Contents2"/>
            <w:tabs>
              <w:tab w:val="clear" w:pos="720"/>
              <w:tab w:val="right" w:pos="9071" w:leader="dot"/>
            </w:tabs>
            <w:rPr/>
          </w:pPr>
          <w:hyperlink w:anchor="__RefHeading___Toc9001_803372697">
            <w:r>
              <w:rPr>
                <w:webHidden/>
                <w:rStyle w:val="IndexLink"/>
              </w:rPr>
              <w:t>5.3 Bereitstellung, Prüfzugänge und Repository</w:t>
              <w:tab/>
              <w:t>25</w:t>
            </w:r>
          </w:hyperlink>
        </w:p>
        <w:p>
          <w:pPr>
            <w:pStyle w:val="Contents2"/>
            <w:tabs>
              <w:tab w:val="clear" w:pos="720"/>
              <w:tab w:val="right" w:pos="9071" w:leader="dot"/>
            </w:tabs>
            <w:rPr/>
          </w:pPr>
          <w:hyperlink w:anchor="__RefHeading___Toc9003_803372697">
            <w:r>
              <w:rPr>
                <w:webHidden/>
                <w:rStyle w:val="IndexLink"/>
              </w:rPr>
              <w:t>5.4 Betrieb während der Korrekturphase</w:t>
              <w:tab/>
              <w:t>25</w:t>
            </w:r>
          </w:hyperlink>
        </w:p>
        <w:p>
          <w:pPr>
            <w:pStyle w:val="Contents1"/>
            <w:tabs>
              <w:tab w:val="clear" w:pos="720"/>
              <w:tab w:val="right" w:pos="9071" w:leader="dot"/>
            </w:tabs>
            <w:rPr/>
          </w:pPr>
          <w:hyperlink w:anchor="__RefHeading___Toc9005_803372697">
            <w:r>
              <w:rPr>
                <w:webHidden/>
                <w:rStyle w:val="IndexLink"/>
              </w:rPr>
              <w:t>6 Tests</w:t>
              <w:tab/>
              <w:t>26</w:t>
            </w:r>
          </w:hyperlink>
        </w:p>
        <w:p>
          <w:pPr>
            <w:pStyle w:val="Contents2"/>
            <w:tabs>
              <w:tab w:val="clear" w:pos="720"/>
              <w:tab w:val="right" w:pos="9071" w:leader="dot"/>
            </w:tabs>
            <w:rPr/>
          </w:pPr>
          <w:hyperlink w:anchor="__RefHeading___Toc9007_803372697">
            <w:r>
              <w:rPr>
                <w:webHidden/>
                <w:rStyle w:val="IndexLink"/>
              </w:rPr>
              <w:t>6.1 Testvorgehen</w:t>
              <w:tab/>
              <w:t>26</w:t>
            </w:r>
          </w:hyperlink>
        </w:p>
        <w:p>
          <w:pPr>
            <w:pStyle w:val="Contents2"/>
            <w:tabs>
              <w:tab w:val="clear" w:pos="720"/>
              <w:tab w:val="right" w:pos="9071" w:leader="dot"/>
            </w:tabs>
            <w:rPr/>
          </w:pPr>
          <w:hyperlink w:anchor="__RefHeading___Toc9009_803372697">
            <w:r>
              <w:rPr>
                <w:webHidden/>
                <w:rStyle w:val="IndexLink"/>
              </w:rPr>
              <w:t>6.2 Testprotokoll mit 6–12 Testfällen</w:t>
              <w:tab/>
              <w:t>26</w:t>
            </w:r>
          </w:hyperlink>
        </w:p>
        <w:p>
          <w:pPr>
            <w:pStyle w:val="Contents2"/>
            <w:tabs>
              <w:tab w:val="clear" w:pos="720"/>
              <w:tab w:val="right" w:pos="9071" w:leader="dot"/>
            </w:tabs>
            <w:rPr/>
          </w:pPr>
          <w:hyperlink w:anchor="__RefHeading___Toc9011_803372697">
            <w:r>
              <w:rPr>
                <w:webHidden/>
                <w:rStyle w:val="IndexLink"/>
              </w:rPr>
              <w:t>6.3 Ergebnisse und offene Einschränkungen</w:t>
              <w:tab/>
              <w:t>26</w:t>
            </w:r>
          </w:hyperlink>
        </w:p>
        <w:p>
          <w:pPr>
            <w:pStyle w:val="Contents1"/>
            <w:tabs>
              <w:tab w:val="clear" w:pos="720"/>
              <w:tab w:val="right" w:pos="9071" w:leader="dot"/>
            </w:tabs>
            <w:rPr/>
          </w:pPr>
          <w:hyperlink w:anchor="__RefHeading___Toc9013_803372697">
            <w:r>
              <w:rPr>
                <w:webHidden/>
                <w:rStyle w:val="IndexLink"/>
              </w:rPr>
              <w:t>7 Bedienungsanleitung</w:t>
              <w:tab/>
              <w:t>27</w:t>
            </w:r>
          </w:hyperlink>
        </w:p>
        <w:p>
          <w:pPr>
            <w:pStyle w:val="Contents2"/>
            <w:tabs>
              <w:tab w:val="clear" w:pos="720"/>
              <w:tab w:val="right" w:pos="9071" w:leader="dot"/>
            </w:tabs>
            <w:rPr/>
          </w:pPr>
          <w:hyperlink w:anchor="__RefHeading___Toc9015_803372697">
            <w:r>
              <w:rPr>
                <w:webHidden/>
                <w:rStyle w:val="IndexLink"/>
              </w:rPr>
              <w:t>7.1 Bedienung der Webanwendung</w:t>
              <w:tab/>
              <w:t>27</w:t>
            </w:r>
          </w:hyperlink>
        </w:p>
        <w:p>
          <w:pPr>
            <w:pStyle w:val="Contents2"/>
            <w:tabs>
              <w:tab w:val="clear" w:pos="720"/>
              <w:tab w:val="right" w:pos="9071" w:leader="dot"/>
            </w:tabs>
            <w:rPr/>
          </w:pPr>
          <w:hyperlink w:anchor="__RefHeading___Toc9017_803372697">
            <w:r>
              <w:rPr>
                <w:webHidden/>
                <w:rStyle w:val="IndexLink"/>
              </w:rPr>
              <w:t>7.2 API Authentifizierung und Endpunkte</w:t>
              <w:tab/>
              <w:t>27</w:t>
            </w:r>
          </w:hyperlink>
        </w:p>
        <w:p>
          <w:pPr>
            <w:pStyle w:val="Contents1"/>
            <w:tabs>
              <w:tab w:val="clear" w:pos="720"/>
              <w:tab w:val="right" w:pos="9071" w:leader="dot"/>
            </w:tabs>
            <w:rPr/>
          </w:pPr>
          <w:hyperlink w:anchor="__RefHeading___Toc9019_803372697">
            <w:r>
              <w:rPr>
                <w:webHidden/>
                <w:rStyle w:val="IndexLink"/>
              </w:rPr>
              <w:t>8 Projektabschluss und Reflexion</w:t>
              <w:tab/>
              <w:t>27</w:t>
            </w:r>
          </w:hyperlink>
        </w:p>
        <w:p>
          <w:pPr>
            <w:pStyle w:val="Contents2"/>
            <w:tabs>
              <w:tab w:val="clear" w:pos="720"/>
              <w:tab w:val="right" w:pos="9071" w:leader="dot"/>
            </w:tabs>
            <w:rPr/>
          </w:pPr>
          <w:hyperlink w:anchor="__RefHeading___Toc9021_803372697">
            <w:r>
              <w:rPr>
                <w:webHidden/>
                <w:rStyle w:val="IndexLink"/>
              </w:rPr>
              <w:t>8.1 Erreichung der Muss- und Kann-Ziele</w:t>
              <w:tab/>
              <w:t>27</w:t>
            </w:r>
          </w:hyperlink>
        </w:p>
        <w:p>
          <w:pPr>
            <w:pStyle w:val="Contents2"/>
            <w:tabs>
              <w:tab w:val="clear" w:pos="720"/>
              <w:tab w:val="right" w:pos="9071" w:leader="dot"/>
            </w:tabs>
            <w:rPr/>
          </w:pPr>
          <w:hyperlink w:anchor="__RefHeading___Toc9023_803372697">
            <w:r>
              <w:rPr>
                <w:webHidden/>
                <w:rStyle w:val="IndexLink"/>
              </w:rPr>
              <w:t>8.2 Projektverlauf und kritische Würdigung der Lösung</w:t>
              <w:tab/>
              <w:t>27</w:t>
            </w:r>
          </w:hyperlink>
        </w:p>
        <w:p>
          <w:pPr>
            <w:pStyle w:val="Contents2"/>
            <w:tabs>
              <w:tab w:val="clear" w:pos="720"/>
              <w:tab w:val="right" w:pos="9071" w:leader="dot"/>
            </w:tabs>
            <w:rPr/>
          </w:pPr>
          <w:hyperlink w:anchor="__RefHeading___Toc9025_803372697">
            <w:r>
              <w:rPr>
                <w:webHidden/>
                <w:rStyle w:val="IndexLink"/>
              </w:rPr>
              <w:t>8.3 Persönliche Reflexion und Ausblick</w:t>
              <w:tab/>
              <w:t>28</w:t>
            </w:r>
          </w:hyperlink>
        </w:p>
        <w:p>
          <w:pPr>
            <w:pStyle w:val="Contents1"/>
            <w:tabs>
              <w:tab w:val="clear" w:pos="720"/>
              <w:tab w:val="right" w:pos="9071" w:leader="dot"/>
            </w:tabs>
            <w:rPr/>
          </w:pPr>
          <w:hyperlink w:anchor="__RefHeading___Toc9027_803372697">
            <w:r>
              <w:rPr>
                <w:webHidden/>
                <w:rStyle w:val="IndexLink"/>
              </w:rPr>
              <w:t>9 Abkürzungsverzeichnis</w:t>
              <w:tab/>
              <w:t>28</w:t>
            </w:r>
          </w:hyperlink>
        </w:p>
        <w:p>
          <w:pPr>
            <w:pStyle w:val="Contents1"/>
            <w:tabs>
              <w:tab w:val="clear" w:pos="720"/>
              <w:tab w:val="right" w:pos="9071" w:leader="dot"/>
            </w:tabs>
            <w:rPr/>
          </w:pPr>
          <w:hyperlink w:anchor="__RefHeading___Toc9029_803372697">
            <w:r>
              <w:rPr>
                <w:webHidden/>
                <w:rStyle w:val="IndexLink"/>
              </w:rPr>
              <w:t>10 Glossar</w:t>
              <w:tab/>
              <w:t>28</w:t>
            </w:r>
          </w:hyperlink>
        </w:p>
        <w:p>
          <w:pPr>
            <w:pStyle w:val="Contents1"/>
            <w:tabs>
              <w:tab w:val="clear" w:pos="720"/>
              <w:tab w:val="right" w:pos="9071" w:leader="dot"/>
            </w:tabs>
            <w:rPr/>
          </w:pPr>
          <w:hyperlink w:anchor="__RefHeading___Toc9031_803372697">
            <w:r>
              <w:rPr>
                <w:webHidden/>
                <w:rStyle w:val="IndexLink"/>
              </w:rPr>
              <w:t>11 Abbildungsverzeichnis</w:t>
              <w:tab/>
              <w:t>28</w:t>
            </w:r>
          </w:hyperlink>
        </w:p>
        <w:p>
          <w:pPr>
            <w:pStyle w:val="Contents1"/>
            <w:tabs>
              <w:tab w:val="clear" w:pos="720"/>
              <w:tab w:val="right" w:pos="9071" w:leader="dot"/>
            </w:tabs>
            <w:rPr/>
          </w:pPr>
          <w:hyperlink w:anchor="__RefHeading___Toc9033_803372697">
            <w:r>
              <w:rPr>
                <w:webHidden/>
                <w:rStyle w:val="IndexLink"/>
              </w:rPr>
              <w:t>12 Tabellenverzeichnis</w:t>
              <w:tab/>
              <w:t>28</w:t>
            </w:r>
          </w:hyperlink>
        </w:p>
        <w:p>
          <w:pPr>
            <w:pStyle w:val="Contents1"/>
            <w:tabs>
              <w:tab w:val="clear" w:pos="720"/>
              <w:tab w:val="right" w:pos="9071" w:leader="dot"/>
            </w:tabs>
            <w:rPr/>
          </w:pPr>
          <w:hyperlink w:anchor="__RefHeading___Toc9035_803372697">
            <w:r>
              <w:rPr>
                <w:webHidden/>
                <w:rStyle w:val="IndexLink"/>
              </w:rPr>
              <w:t>13 Quellenverzeichnis</w:t>
              <w:tab/>
              <w:t>29</w:t>
            </w:r>
          </w:hyperlink>
        </w:p>
        <w:p>
          <w:pPr>
            <w:pStyle w:val="Contents1"/>
            <w:tabs>
              <w:tab w:val="clear" w:pos="720"/>
              <w:tab w:val="right" w:pos="9071" w:leader="dot"/>
            </w:tabs>
            <w:rPr/>
          </w:pPr>
          <w:hyperlink w:anchor="__RefHeading___Toc9037_803372697">
            <w:r>
              <w:rPr>
                <w:webHidden/>
                <w:rStyle w:val="IndexLink"/>
              </w:rPr>
              <w:t>Anhänge</w:t>
              <w:tab/>
              <w:t>29</w:t>
            </w:r>
          </w:hyperlink>
        </w:p>
        <w:p>
          <w:pPr>
            <w:pStyle w:val="Contents1"/>
            <w:tabs>
              <w:tab w:val="clear" w:pos="720"/>
              <w:tab w:val="right" w:pos="9071" w:leader="dot"/>
            </w:tabs>
            <w:rPr/>
          </w:pPr>
          <w:hyperlink w:anchor="__RefHeading___Toc9039_803372697">
            <w:r>
              <w:rPr>
                <w:webHidden/>
                <w:rStyle w:val="IndexLink"/>
              </w:rPr>
              <w:t>Eigenständigkeitserklärung und Deklaration des KI-Einsatzes</w:t>
              <w:tab/>
              <w:t>30</w:t>
            </w:r>
          </w:hyperlink>
          <w:r>
            <w:rPr>
              <w:rStyle w:val="IndexLink"/>
            </w:rPr>
            <w:fldChar w:fldCharType="end"/>
          </w:r>
        </w:p>
      </w:sdtContent>
    </w:sdt>
    <w:p>
      <w:pPr>
        <w:pStyle w:val="Heading1"/>
        <w:keepNext w:val="true"/>
        <w:rPr/>
      </w:pPr>
      <w:r>
        <w:br w:type="page"/>
      </w:r>
      <w:bookmarkStart w:id="2" w:name="__RefHeading___Toc8963_803372697"/>
      <w:bookmarkStart w:id="3" w:name="_Toc239707992"/>
      <w:bookmarkEnd w:id="2"/>
      <w:r>
        <w:rPr/>
        <w:t>2 Projektgrundlagen und Planung</w:t>
      </w:r>
      <w:bookmarkEnd w:id="3"/>
    </w:p>
    <w:p>
      <w:pPr>
        <w:pStyle w:val="Normal"/>
        <w:rPr/>
      </w:pPr>
      <w:r>
        <w:rPr/>
        <w:t>Die Entwicklung von RepairHub umfasst die Planung, Umsetzung und Bereitstellung einer Webanwendung zur Verwaltung von Reparaturfällen für Haushaltsgeräte und Elektronik. Dieses Kapitel beschreibt die Ausgangslage, den Projektauftrag und die angestrebten Ziele. Zudem werden der Projektumfang, das geplante Vorgehen und die wesentlichen Projektrisiken festgelegt.</w:t>
      </w:r>
    </w:p>
    <w:p>
      <w:pPr>
        <w:pStyle w:val="Heading2"/>
        <w:keepNext w:val="true"/>
        <w:ind w:start="0" w:hanging="0"/>
        <w:rPr/>
      </w:pPr>
      <w:bookmarkStart w:id="4" w:name="__RefHeading___Toc8965_803372697"/>
      <w:bookmarkStart w:id="5" w:name="_Toc239707993"/>
      <w:bookmarkEnd w:id="4"/>
      <w:r>
        <w:rPr/>
        <w:t>2.1 Ausgangslage und Projektauftrag</w:t>
      </w:r>
      <w:bookmarkEnd w:id="5"/>
    </w:p>
    <w:p>
      <w:pPr>
        <w:pStyle w:val="Normal"/>
        <w:rPr/>
      </w:pPr>
      <w:r>
        <w:rPr/>
        <w:t>Bei der Bearbeitung von Reparaturfällen entstehen Informationen zu Geräten, Fehlerbildern, Reparaturschritten und benötigten Ersatzteilen. Werden diese Informationen getrennt festgehalten, erschwert dies die Übersicht über den Bearbeitungsstand und die voraussichtlichen Kosten.</w:t>
      </w:r>
    </w:p>
    <w:p>
      <w:pPr>
        <w:pStyle w:val="Normal"/>
        <w:rPr/>
      </w:pPr>
      <w:r>
        <w:rPr/>
        <w:t>Mit RepairHub wird eine Webanwendung entwickelt, welche diese Informationen zentral zusammenführt. Benutzer können Geräte und Reparaturfälle erfassen, Reparaturschritte planen, Ersatzteile zuordnen und den Reparaturstatus verfolgen. Die geschätzten Reparaturkosten werden aus Arbeitszeit und Ersatzteilen berechnet. Ausgewählte Reparaturdaten stehen zusätzlich über eine authentifizierte REST-API zur Verfügung.</w:t>
      </w:r>
    </w:p>
    <w:p>
      <w:pPr>
        <w:pStyle w:val="Normal"/>
        <w:rPr/>
      </w:pPr>
      <w:r>
        <w:rPr/>
        <w:t>Der Projektauftrag umfasst die Planung, Entwicklung, Prüfung und Bereitstellung der Anwendung. Im Mittelpunkt stehen eine verständliche Bedienung, eine konsistente Datenhaltung und ein nachvollziehbarer Aufbau der Software.</w:t>
      </w:r>
    </w:p>
    <w:p>
      <w:pPr>
        <w:pStyle w:val="Heading2"/>
        <w:keepNext w:val="true"/>
        <w:ind w:start="0" w:hanging="0"/>
        <w:rPr/>
      </w:pPr>
      <w:bookmarkStart w:id="6" w:name="__RefHeading___Toc8967_803372697"/>
      <w:bookmarkStart w:id="7" w:name="_Toc239707994"/>
      <w:bookmarkEnd w:id="6"/>
      <w:r>
        <w:rPr/>
        <w:t>2.2 Zielsetzung und Abgrenzung</w:t>
      </w:r>
      <w:bookmarkEnd w:id="7"/>
    </w:p>
    <w:p>
      <w:pPr>
        <w:pStyle w:val="Normal"/>
        <w:rPr/>
      </w:pPr>
      <w:r>
        <w:rPr/>
        <w:t>Ziel des Projekts ist die Entwicklung einer übersichtlichen Webanwendung, mit der Reparaturfälle von der Erfassung bis zum Abschluss dokumentiert werden können. Die Erfüllung der Projektziele wird anhand definierter Testfälle überprüft.</w:t>
      </w:r>
    </w:p>
    <w:p>
      <w:pPr>
        <w:pStyle w:val="Normal"/>
        <w:rPr/>
      </w:pPr>
      <w:r>
        <w:rPr/>
        <w:t>Die Projektziele werden in Muss- und Kann-Ziele unterteilt. Muss-Ziele bilden den verbindlichen Leistungsumfang. Kann-Ziele ergänzen die Anwendung und werden erst umgesetzt, wenn die Erfüllung der Muss-Ziele innerhalb der verfügbaren Zeit sichergestellt ist.</w:t>
      </w:r>
    </w:p>
    <w:p>
      <w:pPr>
        <w:pStyle w:val="Normal"/>
        <w:rPr/>
      </w:pPr>
      <w:r>
        <w:rPr/>
        <w:t>Der Projektumfang beschränkt sich auf die Verwaltung und Nachverfolgung von Reparaturfällen sowie die Abschätzung der Reparaturkosten. Eine vollständige Warenwirtschaft, die automatische Bestellung von Ersatzteilen, eine Zahlungsabwicklung und die Erstellung rechtsverbindlicher Rechnungen sind nicht Bestandteil des Projekts. Ebenso führt die Anwendung keine automatische Fehlerdiagnose durch. Fehlerbilder und Reparaturschritte werden durch die Benutzer erfasst.</w:t>
      </w:r>
      <w:r>
        <w:br w:type="page"/>
      </w:r>
    </w:p>
    <w:p>
      <w:pPr>
        <w:pStyle w:val="Heading3"/>
        <w:keepNext w:val="true"/>
        <w:ind w:start="0" w:hanging="0"/>
        <w:rPr/>
      </w:pPr>
      <w:bookmarkStart w:id="8" w:name="__RefHeading___Toc8969_803372697"/>
      <w:bookmarkStart w:id="9" w:name="_Toc239707995"/>
      <w:bookmarkEnd w:id="8"/>
      <w:r>
        <w:rPr/>
        <w:t>2.2.1 Muss-Ziele</w:t>
      </w:r>
      <w:bookmarkEnd w:id="9"/>
    </w:p>
    <w:p>
      <w:pPr>
        <w:pStyle w:val="Normal"/>
        <w:rPr/>
      </w:pPr>
      <w:r>
        <w:rPr/>
        <w:t>Die Muss-Ziele legen den verbindlichen Funktionsumfang von RepairHub fest. Ihre Erfüllung wird anhand definierter Testfälle überprüft.</w:t>
      </w:r>
    </w:p>
    <w:tbl>
      <w:tblPr>
        <w:tblW w:w="9071" w:type="dxa"/>
        <w:jc w:val="start"/>
        <w:tblInd w:w="0" w:type="dxa"/>
        <w:tblLayout w:type="fixed"/>
        <w:tblCellMar>
          <w:top w:w="70" w:type="dxa"/>
          <w:start w:w="90" w:type="dxa"/>
          <w:bottom w:w="70" w:type="dxa"/>
          <w:end w:w="90" w:type="dxa"/>
        </w:tblCellMar>
        <w:tblLook w:val="04a0" w:noHBand="0" w:noVBand="1" w:firstColumn="1" w:lastRow="0" w:lastColumn="0" w:firstRow="1"/>
      </w:tblPr>
      <w:tblGrid>
        <w:gridCol w:w="736"/>
        <w:gridCol w:w="8334"/>
      </w:tblGrid>
      <w:tr>
        <w:trPr>
          <w:tblHeader w:val="true"/>
          <w:cantSplit w:val="true"/>
        </w:trPr>
        <w:tc>
          <w:tcPr>
            <w:tcW w:w="736"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ID</w:t>
            </w:r>
          </w:p>
        </w:tc>
        <w:tc>
          <w:tcPr>
            <w:tcW w:w="8334"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Muss-Ziel</w:t>
            </w:r>
          </w:p>
        </w:tc>
      </w:tr>
      <w:tr>
        <w:trPr>
          <w:cantSplit w:val="true"/>
        </w:trPr>
        <w:tc>
          <w:tcPr>
            <w:tcW w:w="73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M01</w:t>
            </w:r>
          </w:p>
        </w:tc>
        <w:tc>
          <w:tcPr>
            <w:tcW w:w="83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Benutzer können sich mit eindeutigem Benutzernamen und E-Mail-Adresse registrieren sowie passwortgeschützt anmelden.</w:t>
            </w:r>
          </w:p>
        </w:tc>
      </w:tr>
      <w:tr>
        <w:trPr>
          <w:cantSplit w:val="true"/>
        </w:trPr>
        <w:tc>
          <w:tcPr>
            <w:tcW w:w="73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M02</w:t>
            </w:r>
          </w:p>
        </w:tc>
        <w:tc>
          <w:tcPr>
            <w:tcW w:w="83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Geräte und Reparaturfälle können erfasst, angezeigt und bearbeitet werden. Die Daten werden dauerhaft gespeichert.</w:t>
            </w:r>
          </w:p>
        </w:tc>
      </w:tr>
      <w:tr>
        <w:trPr>
          <w:cantSplit w:val="true"/>
        </w:trPr>
        <w:tc>
          <w:tcPr>
            <w:tcW w:w="73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M03</w:t>
            </w:r>
          </w:p>
        </w:tc>
        <w:tc>
          <w:tcPr>
            <w:tcW w:w="83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Fehlerbilder und Reparaturschritte können dokumentiert und der Reparaturstatus kann nachgeführt werden.</w:t>
            </w:r>
          </w:p>
        </w:tc>
      </w:tr>
      <w:tr>
        <w:trPr>
          <w:cantSplit w:val="true"/>
        </w:trPr>
        <w:tc>
          <w:tcPr>
            <w:tcW w:w="73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M04</w:t>
            </w:r>
          </w:p>
        </w:tc>
        <w:tc>
          <w:tcPr>
            <w:tcW w:w="83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Ersatzteile können mit Preis und Menge einem Reparaturfall zugeordnet werden.</w:t>
            </w:r>
          </w:p>
        </w:tc>
      </w:tr>
      <w:tr>
        <w:trPr>
          <w:cantSplit w:val="true"/>
        </w:trPr>
        <w:tc>
          <w:tcPr>
            <w:tcW w:w="73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M05</w:t>
            </w:r>
          </w:p>
        </w:tc>
        <w:tc>
          <w:tcPr>
            <w:tcW w:w="83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Geschätzte Reparaturkosten werden aus Arbeitszeit, Stundensatz und Ersatzteilkosten berechnet.</w:t>
            </w:r>
          </w:p>
        </w:tc>
      </w:tr>
      <w:tr>
        <w:trPr>
          <w:cantSplit w:val="true"/>
        </w:trPr>
        <w:tc>
          <w:tcPr>
            <w:tcW w:w="73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M06</w:t>
            </w:r>
          </w:p>
        </w:tc>
        <w:tc>
          <w:tcPr>
            <w:tcW w:w="83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Ausgewählte Reparaturdaten sind über eine authentifizierte REST-API ohne Browser lesbar.</w:t>
            </w:r>
          </w:p>
        </w:tc>
      </w:tr>
      <w:tr>
        <w:trPr>
          <w:cantSplit w:val="true"/>
        </w:trPr>
        <w:tc>
          <w:tcPr>
            <w:tcW w:w="73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M07</w:t>
            </w:r>
          </w:p>
        </w:tc>
        <w:tc>
          <w:tcPr>
            <w:tcW w:w="83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Die Anwendung ist über das Internet erreichbar und über einen Webbrowser bedienbar.</w:t>
            </w:r>
          </w:p>
        </w:tc>
      </w:tr>
    </w:tbl>
    <w:p>
      <w:pPr>
        <w:pStyle w:val="Caption1"/>
        <w:keepNext w:val="true"/>
        <w:rPr/>
      </w:pPr>
      <w:bookmarkStart w:id="10" w:name="_Toc239708040"/>
      <w:r>
        <w:rPr/>
        <w:t xml:space="preserve">Tabelle </w:t>
      </w:r>
      <w:r>
        <w:rPr/>
        <w:fldChar w:fldCharType="begin"/>
      </w:r>
      <w:r>
        <w:rPr/>
        <w:instrText xml:space="preserve"> SEQ Tabelle \* ARABIC </w:instrText>
      </w:r>
      <w:r>
        <w:rPr/>
        <w:fldChar w:fldCharType="separate"/>
      </w:r>
      <w:r>
        <w:rPr/>
        <w:t>1</w:t>
      </w:r>
      <w:r>
        <w:rPr/>
        <w:fldChar w:fldCharType="end"/>
      </w:r>
      <w:r>
        <w:rPr/>
        <w:t xml:space="preserve"> Muss-Ziele von RepairHub</w:t>
      </w:r>
      <w:bookmarkEnd w:id="10"/>
    </w:p>
    <w:p>
      <w:pPr>
        <w:pStyle w:val="Heading3"/>
        <w:keepNext w:val="true"/>
        <w:ind w:start="0" w:hanging="0"/>
        <w:rPr/>
      </w:pPr>
      <w:bookmarkStart w:id="11" w:name="__RefHeading___Toc8971_803372697"/>
      <w:bookmarkStart w:id="12" w:name="_Toc239707996"/>
      <w:bookmarkEnd w:id="11"/>
      <w:r>
        <w:rPr/>
        <w:t>2.2.2 Kann-Ziele</w:t>
      </w:r>
      <w:bookmarkEnd w:id="12"/>
    </w:p>
    <w:p>
      <w:pPr>
        <w:pStyle w:val="Normal"/>
        <w:rPr/>
      </w:pPr>
      <w:r>
        <w:rPr/>
        <w:t>Die Kann-Ziele verbessern die Bedienbarkeit und erweitern den Nutzen. K01 bis K04 wurden nach dem Muss-Umfang umgesetzt und in T12 gemeinsam abgenommen. Zusätzlich ist eine eigenständige Gerätesuche vorhanden. Die ursprüngliche Priorisierung bleibt als Planungsentscheidung nachvollziehbar.</w:t>
      </w:r>
    </w:p>
    <w:tbl>
      <w:tblPr>
        <w:tblW w:w="9071" w:type="dxa"/>
        <w:jc w:val="start"/>
        <w:tblInd w:w="0" w:type="dxa"/>
        <w:tblLayout w:type="fixed"/>
        <w:tblCellMar>
          <w:top w:w="70" w:type="dxa"/>
          <w:start w:w="90" w:type="dxa"/>
          <w:bottom w:w="70" w:type="dxa"/>
          <w:end w:w="90" w:type="dxa"/>
        </w:tblCellMar>
        <w:tblLook w:val="04a0" w:noHBand="0" w:noVBand="1" w:firstColumn="1" w:lastRow="0" w:lastColumn="0" w:firstRow="1"/>
      </w:tblPr>
      <w:tblGrid>
        <w:gridCol w:w="736"/>
        <w:gridCol w:w="8334"/>
      </w:tblGrid>
      <w:tr>
        <w:trPr>
          <w:tblHeader w:val="true"/>
          <w:cantSplit w:val="true"/>
        </w:trPr>
        <w:tc>
          <w:tcPr>
            <w:tcW w:w="736"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ID</w:t>
            </w:r>
          </w:p>
        </w:tc>
        <w:tc>
          <w:tcPr>
            <w:tcW w:w="8334"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Kann-Ziel</w:t>
            </w:r>
          </w:p>
        </w:tc>
      </w:tr>
      <w:tr>
        <w:trPr>
          <w:cantSplit w:val="true"/>
        </w:trPr>
        <w:tc>
          <w:tcPr>
            <w:tcW w:w="73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K01</w:t>
            </w:r>
          </w:p>
        </w:tc>
        <w:tc>
          <w:tcPr>
            <w:tcW w:w="83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Reparaturfälle können nach Suchbegriffen und Bearbeitungsstatus gefiltert werden.</w:t>
            </w:r>
          </w:p>
        </w:tc>
      </w:tr>
      <w:tr>
        <w:trPr>
          <w:cantSplit w:val="true"/>
        </w:trPr>
        <w:tc>
          <w:tcPr>
            <w:tcW w:w="73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K02</w:t>
            </w:r>
          </w:p>
        </w:tc>
        <w:tc>
          <w:tcPr>
            <w:tcW w:w="83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Eine Übersichtsseite zeigt die Anzahl offener, laufender und abgeschlossener Reparaturfälle.</w:t>
            </w:r>
          </w:p>
        </w:tc>
      </w:tr>
      <w:tr>
        <w:trPr>
          <w:cantSplit w:val="true"/>
        </w:trPr>
        <w:tc>
          <w:tcPr>
            <w:tcW w:w="73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K03</w:t>
            </w:r>
          </w:p>
        </w:tc>
        <w:tc>
          <w:tcPr>
            <w:tcW w:w="83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Bilder können zu Geräten oder Fehlerbildern hochgeladen und angezeigt werden.</w:t>
            </w:r>
          </w:p>
        </w:tc>
      </w:tr>
      <w:tr>
        <w:trPr>
          <w:cantSplit w:val="true"/>
        </w:trPr>
        <w:tc>
          <w:tcPr>
            <w:tcW w:w="73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K04</w:t>
            </w:r>
          </w:p>
        </w:tc>
        <w:tc>
          <w:tcPr>
            <w:tcW w:w="83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Ein Reparaturbericht mit den wichtigsten Falldaten und geschätzten Kosten kann als PDF exportiert werden.</w:t>
            </w:r>
          </w:p>
        </w:tc>
      </w:tr>
    </w:tbl>
    <w:p>
      <w:pPr>
        <w:pStyle w:val="Caption1"/>
        <w:keepNext w:val="true"/>
        <w:rPr/>
      </w:pPr>
      <w:bookmarkStart w:id="13" w:name="_Toc239708041"/>
      <w:r>
        <w:rPr/>
        <w:t xml:space="preserve">Tabelle </w:t>
      </w:r>
      <w:r>
        <w:rPr/>
        <w:fldChar w:fldCharType="begin"/>
      </w:r>
      <w:r>
        <w:rPr/>
        <w:instrText xml:space="preserve"> SEQ Tabelle \* ARABIC </w:instrText>
      </w:r>
      <w:r>
        <w:rPr/>
        <w:fldChar w:fldCharType="separate"/>
      </w:r>
      <w:r>
        <w:rPr/>
        <w:t>2</w:t>
      </w:r>
      <w:r>
        <w:rPr/>
        <w:fldChar w:fldCharType="end"/>
      </w:r>
      <w:r>
        <w:rPr/>
        <w:t xml:space="preserve"> Kann-Ziele von RepairHub</w:t>
      </w:r>
      <w:bookmarkEnd w:id="13"/>
      <w:r>
        <w:br w:type="page"/>
      </w:r>
    </w:p>
    <w:p>
      <w:pPr>
        <w:pStyle w:val="Heading2"/>
        <w:keepNext w:val="true"/>
        <w:ind w:start="0" w:hanging="0"/>
        <w:rPr/>
      </w:pPr>
      <w:bookmarkStart w:id="14" w:name="__RefHeading___Toc8973_803372697"/>
      <w:bookmarkStart w:id="15" w:name="_Toc239707997"/>
      <w:bookmarkEnd w:id="14"/>
      <w:r>
        <w:rPr/>
        <w:t>2.3 Vorgehensmodell und Zeitplanung</w:t>
      </w:r>
      <w:bookmarkEnd w:id="15"/>
    </w:p>
    <w:p>
      <w:pPr>
        <w:pStyle w:val="Normal"/>
        <w:rPr/>
      </w:pPr>
      <w:r>
        <w:rPr/>
        <w:t>Für RepairHub ist ein phasenorientiertes Vorgehen mit iterativer Umsetzung vorgesehen. Die Projektphasen schaffen eine nachvollziehbare Struktur von der Planung bis zum Abschluss. Innerhalb der Umsetzung werden einzelne Funktionen schrittweise entwickelt und getestet. Erkenntnisse aus den Tests können dadurch unmittelbar in die weitere Entwicklung einfliessen.</w:t>
      </w:r>
    </w:p>
    <w:p>
      <w:pPr>
        <w:pStyle w:val="Normal"/>
        <w:rPr/>
      </w:pPr>
      <w:r>
        <w:rPr/>
        <w:t>Zunächst wurden Projektumfang und Anforderungen festgelegt. Das frühe Datenmodell diente dem Abgleich. Die tatsächliche Umsetzung folgte fachlichen Beispielen: Domain-Test, vertikaler Anwendungsfall mit Ports, konkrete Adapter und minimale Migration, anschliessend HTTP- und Browserprüfung. Dadurch entstand das Schema schrittweise aus den umgesetzten Anwendungsfällen.</w:t>
      </w:r>
    </w:p>
    <w:p>
      <w:pPr>
        <w:pStyle w:val="Normal"/>
        <w:rPr/>
      </w:pPr>
      <w:r>
        <w:rPr/>
        <w:t>Die Dokumentation wird während des gesamten Projekts laufend ergänzt. Auch die Bereitstellung wird frühzeitig erprobt, damit Probleme mit der Hostingumgebung rechtzeitig erkannt werden. Nach der Umsetzung der Muss-Ziele erfolgen die abschliessenden Tests und die Prüfung der Dokumentation.</w:t>
      </w:r>
    </w:p>
    <w:p>
      <w:pPr>
        <w:pStyle w:val="Normal"/>
        <w:rPr/>
      </w:pPr>
      <w:r>
        <w:rPr/>
        <w:t>Die folgende Aufteilung dient als Planung des verfügbaren Gesamtaufwands. Die konkreten Termine werden anhand des verbindlichen Projektendtermins festgelegt.</w:t>
      </w:r>
    </w:p>
    <w:tbl>
      <w:tblPr>
        <w:tblW w:w="9071" w:type="dxa"/>
        <w:jc w:val="start"/>
        <w:tblInd w:w="0" w:type="dxa"/>
        <w:tblLayout w:type="fixed"/>
        <w:tblCellMar>
          <w:top w:w="70" w:type="dxa"/>
          <w:start w:w="90" w:type="dxa"/>
          <w:bottom w:w="70" w:type="dxa"/>
          <w:end w:w="90" w:type="dxa"/>
        </w:tblCellMar>
        <w:tblLook w:val="04a0" w:noHBand="0" w:noVBand="1" w:firstColumn="1" w:lastRow="0" w:lastColumn="0" w:firstRow="1"/>
      </w:tblPr>
      <w:tblGrid>
        <w:gridCol w:w="1757"/>
        <w:gridCol w:w="3968"/>
        <w:gridCol w:w="795"/>
        <w:gridCol w:w="2550"/>
      </w:tblGrid>
      <w:tr>
        <w:trPr>
          <w:tblHeader w:val="true"/>
          <w:cantSplit w:val="true"/>
        </w:trPr>
        <w:tc>
          <w:tcPr>
            <w:tcW w:w="1757"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Phase</w:t>
            </w:r>
          </w:p>
        </w:tc>
        <w:tc>
          <w:tcPr>
            <w:tcW w:w="3968"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Wesentliche Arbeiten</w:t>
            </w:r>
          </w:p>
        </w:tc>
        <w:tc>
          <w:tcPr>
            <w:tcW w:w="795"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Anteil</w:t>
            </w:r>
          </w:p>
        </w:tc>
        <w:tc>
          <w:tcPr>
            <w:tcW w:w="2550"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Meilenstein</w:t>
            </w:r>
          </w:p>
        </w:tc>
      </w:tr>
      <w:tr>
        <w:trPr>
          <w:cantSplit w:val="true"/>
        </w:trPr>
        <w:tc>
          <w:tcPr>
            <w:tcW w:w="175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Grundlagen und Analyse</w:t>
            </w:r>
          </w:p>
        </w:tc>
        <w:tc>
          <w:tcPr>
            <w:tcW w:w="396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Umfang, Ziele, Anforderungen und Risiken festlegen</w:t>
            </w:r>
          </w:p>
        </w:tc>
        <w:tc>
          <w:tcPr>
            <w:tcW w:w="795"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15 %</w:t>
            </w:r>
          </w:p>
        </w:tc>
        <w:tc>
          <w:tcPr>
            <w:tcW w:w="25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Anforderungen festgelegt</w:t>
            </w:r>
          </w:p>
        </w:tc>
      </w:tr>
      <w:tr>
        <w:trPr>
          <w:cantSplit w:val="true"/>
        </w:trPr>
        <w:tc>
          <w:tcPr>
            <w:tcW w:w="175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Architektur und Entwurf</w:t>
            </w:r>
          </w:p>
        </w:tc>
        <w:tc>
          <w:tcPr>
            <w:tcW w:w="396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Datenmodell, Abläufe, Oberfläche und Bereitstellung planen</w:t>
            </w:r>
          </w:p>
        </w:tc>
        <w:tc>
          <w:tcPr>
            <w:tcW w:w="795"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20 %</w:t>
            </w:r>
          </w:p>
        </w:tc>
        <w:tc>
          <w:tcPr>
            <w:tcW w:w="25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Lösungskonzept erstellt</w:t>
            </w:r>
          </w:p>
        </w:tc>
      </w:tr>
      <w:tr>
        <w:trPr>
          <w:cantSplit w:val="true"/>
        </w:trPr>
        <w:tc>
          <w:tcPr>
            <w:tcW w:w="175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Umsetzung</w:t>
            </w:r>
          </w:p>
        </w:tc>
        <w:tc>
          <w:tcPr>
            <w:tcW w:w="396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Muss-Funktionen schrittweise entwickeln und begleitend testen</w:t>
            </w:r>
          </w:p>
        </w:tc>
        <w:tc>
          <w:tcPr>
            <w:tcW w:w="795"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35 %</w:t>
            </w:r>
          </w:p>
        </w:tc>
        <w:tc>
          <w:tcPr>
            <w:tcW w:w="25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Muss-Funktionen implementiert</w:t>
            </w:r>
          </w:p>
        </w:tc>
      </w:tr>
      <w:tr>
        <w:trPr>
          <w:cantSplit w:val="true"/>
        </w:trPr>
        <w:tc>
          <w:tcPr>
            <w:tcW w:w="175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Abschlussprüfung und Bereitstellung</w:t>
            </w:r>
          </w:p>
        </w:tc>
        <w:tc>
          <w:tcPr>
            <w:tcW w:w="396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Tests protokollieren, Fehler beheben, Internetzugriff und Dokumentation prüfen</w:t>
            </w:r>
          </w:p>
        </w:tc>
        <w:tc>
          <w:tcPr>
            <w:tcW w:w="795"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20 %</w:t>
            </w:r>
          </w:p>
        </w:tc>
        <w:tc>
          <w:tcPr>
            <w:tcW w:w="25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Anwendung und Dokumentation fertiggestellt</w:t>
            </w:r>
          </w:p>
        </w:tc>
      </w:tr>
      <w:tr>
        <w:trPr>
          <w:cantSplit w:val="true"/>
        </w:trPr>
        <w:tc>
          <w:tcPr>
            <w:tcW w:w="175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Reserve</w:t>
            </w:r>
          </w:p>
        </w:tc>
        <w:tc>
          <w:tcPr>
            <w:tcW w:w="396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Unvorhergesehene Probleme bearbeiten; bei verbleibender Kapazität Kann-Ziele umsetzen</w:t>
            </w:r>
          </w:p>
        </w:tc>
        <w:tc>
          <w:tcPr>
            <w:tcW w:w="795"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10 %</w:t>
            </w:r>
          </w:p>
        </w:tc>
        <w:tc>
          <w:tcPr>
            <w:tcW w:w="25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Projekt abgeschlossen</w:t>
            </w:r>
          </w:p>
        </w:tc>
      </w:tr>
    </w:tbl>
    <w:p>
      <w:pPr>
        <w:pStyle w:val="Caption1"/>
        <w:keepNext w:val="true"/>
        <w:rPr/>
      </w:pPr>
      <w:bookmarkStart w:id="16" w:name="_Toc239708042"/>
      <w:r>
        <w:rPr/>
        <w:t xml:space="preserve">Tabelle </w:t>
      </w:r>
      <w:r>
        <w:rPr/>
        <w:fldChar w:fldCharType="begin"/>
      </w:r>
      <w:r>
        <w:rPr/>
        <w:instrText xml:space="preserve"> SEQ Tabelle \* ARABIC </w:instrText>
      </w:r>
      <w:r>
        <w:rPr/>
        <w:fldChar w:fldCharType="separate"/>
      </w:r>
      <w:r>
        <w:rPr/>
        <w:t>3</w:t>
      </w:r>
      <w:r>
        <w:rPr/>
        <w:fldChar w:fldCharType="end"/>
      </w:r>
      <w:r>
        <w:rPr/>
        <w:t xml:space="preserve"> Aufwandsplanung</w:t>
      </w:r>
      <w:bookmarkEnd w:id="16"/>
    </w:p>
    <w:p>
      <w:pPr>
        <w:pStyle w:val="Normal"/>
        <w:rPr/>
      </w:pPr>
      <w:r>
        <w:rPr/>
        <w:t>Die Fortschrittskontrolle erfolgt anhand der Meilensteine und des Umsetzungsstands der Muss-Ziele. Bei Verzögerungen werden zunächst die Kann-Ziele zurückgestellt. Die für Tests, Dokumentation und Bereitstellung vorgesehene Zeit wird bei der weiteren Planung berücksichtigt.</w:t>
      </w:r>
      <w:r>
        <w:br w:type="page"/>
      </w:r>
    </w:p>
    <w:p>
      <w:pPr>
        <w:pStyle w:val="Heading2"/>
        <w:keepNext w:val="true"/>
        <w:ind w:start="0" w:hanging="0"/>
        <w:rPr/>
      </w:pPr>
      <w:bookmarkStart w:id="17" w:name="__RefHeading___Toc8975_803372697"/>
      <w:bookmarkStart w:id="18" w:name="_Toc239707998"/>
      <w:bookmarkEnd w:id="17"/>
      <w:r>
        <w:rPr/>
        <w:t>2.4 Projektrisiken</w:t>
      </w:r>
      <w:bookmarkEnd w:id="18"/>
    </w:p>
    <w:p>
      <w:pPr>
        <w:pStyle w:val="Normal"/>
        <w:rPr/>
      </w:pPr>
      <w:r>
        <w:rPr/>
        <w:t>Die wesentlichen Projektrisiken betreffen den zeitlichen Aufwand, die technische Umsetzung und den zuverlässigen Betrieb der Anwendung. Die nachfolgende Einschätzung dient dazu, mögliche Schwierigkeiten frühzeitig zu berücksichtigen und geeignete Gegenmassnahmen einzuplanen. Sie wird im Projektverlauf überprüft und bei Bedarf angepasst.</w:t>
      </w:r>
    </w:p>
    <w:tbl>
      <w:tblPr>
        <w:tblW w:w="9071" w:type="dxa"/>
        <w:jc w:val="start"/>
        <w:tblInd w:w="0" w:type="dxa"/>
        <w:tblLayout w:type="fixed"/>
        <w:tblCellMar>
          <w:top w:w="70" w:type="dxa"/>
          <w:start w:w="90" w:type="dxa"/>
          <w:bottom w:w="70" w:type="dxa"/>
          <w:end w:w="90" w:type="dxa"/>
        </w:tblCellMar>
        <w:tblLook w:val="04a0" w:noHBand="0" w:noVBand="1" w:firstColumn="1" w:lastRow="0" w:lastColumn="0" w:firstRow="1"/>
      </w:tblPr>
      <w:tblGrid>
        <w:gridCol w:w="2267"/>
        <w:gridCol w:w="850"/>
        <w:gridCol w:w="2381"/>
        <w:gridCol w:w="3572"/>
      </w:tblGrid>
      <w:tr>
        <w:trPr>
          <w:tblHeader w:val="true"/>
          <w:cantSplit w:val="true"/>
        </w:trPr>
        <w:tc>
          <w:tcPr>
            <w:tcW w:w="2267"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Risiko</w:t>
            </w:r>
          </w:p>
        </w:tc>
        <w:tc>
          <w:tcPr>
            <w:tcW w:w="850"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Eintritt</w:t>
            </w:r>
          </w:p>
        </w:tc>
        <w:tc>
          <w:tcPr>
            <w:tcW w:w="2381"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Auswirkung</w:t>
            </w:r>
          </w:p>
        </w:tc>
        <w:tc>
          <w:tcPr>
            <w:tcW w:w="3572"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Geplante Gegenmassnahme</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Der Umsetzungsaufwand wird unterschätzt.</w:t>
            </w:r>
          </w:p>
        </w:tc>
        <w:tc>
          <w:tcPr>
            <w:tcW w:w="8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Mittel</w:t>
            </w:r>
          </w:p>
        </w:tc>
        <w:tc>
          <w:tcPr>
            <w:tcW w:w="2381"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Muss-Funktionen oder Dokumentation werden nicht rechtzeitig fertig.</w:t>
            </w:r>
          </w:p>
        </w:tc>
        <w:tc>
          <w:tcPr>
            <w:tcW w:w="357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Muss-Ziele priorisieren, Fortschritt anhand der Meilensteine prüfen und Zeitreserve einplanen.</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Die Bereitstellung funktioniert in der Hostingumgebung nicht wie erwartet.</w:t>
            </w:r>
          </w:p>
        </w:tc>
        <w:tc>
          <w:tcPr>
            <w:tcW w:w="8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Mittel</w:t>
            </w:r>
          </w:p>
        </w:tc>
        <w:tc>
          <w:tcPr>
            <w:tcW w:w="2381"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Die Anwendung ist zum geplanten Termin nicht erreichbar.</w:t>
            </w:r>
          </w:p>
        </w:tc>
        <w:tc>
          <w:tcPr>
            <w:tcW w:w="357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Frühzeitig eine einfache Version mit Datenbankanbindung und Gunicorn bereitstellen und extern testen.</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Fehler in Authentifizierung oder Zugriffsprüfung ermöglichen unberechtigte Datenzugriffe.</w:t>
            </w:r>
          </w:p>
        </w:tc>
        <w:tc>
          <w:tcPr>
            <w:tcW w:w="8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Mittel</w:t>
            </w:r>
          </w:p>
        </w:tc>
        <w:tc>
          <w:tcPr>
            <w:tcW w:w="2381"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Reparaturdaten sind unzureichend geschützt.</w:t>
            </w:r>
          </w:p>
        </w:tc>
        <w:tc>
          <w:tcPr>
            <w:tcW w:w="357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Passwörter als sichere Hashwerte speichern, etablierte Bibliotheken einsetzen und unerlaubte Zugriffe gezielt testen.</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Fehlerhafte Eingaben oder Berechnungen führen zu falschen Reparaturkosten.</w:t>
            </w:r>
          </w:p>
        </w:tc>
        <w:tc>
          <w:tcPr>
            <w:tcW w:w="8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Mittel</w:t>
            </w:r>
          </w:p>
        </w:tc>
        <w:tc>
          <w:tcPr>
            <w:tcW w:w="2381"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Die angezeigten Ergebnisse sind unzuverlässig.</w:t>
            </w:r>
          </w:p>
        </w:tc>
        <w:tc>
          <w:tcPr>
            <w:tcW w:w="357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Eingaben validieren und Kostenberechnungen mit bekannten Ergebnissen und Grenzfällen prüfen.</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Quellcode oder gespeicherte Daten gehen verloren.</w:t>
            </w:r>
          </w:p>
        </w:tc>
        <w:tc>
          <w:tcPr>
            <w:tcW w:w="8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Niedrig</w:t>
            </w:r>
          </w:p>
        </w:tc>
        <w:tc>
          <w:tcPr>
            <w:tcW w:w="2381"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Entwicklungsarbeit muss wiederholt werden oder Testdaten fehlen.</w:t>
            </w:r>
          </w:p>
        </w:tc>
        <w:tc>
          <w:tcPr>
            <w:tcW w:w="357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Änderungen regelmässig im Repository sichern und Datenbanksicherungen vor wesentlichen Änderungen erstellen.</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Die Anwendung fällt während des Betriebs aus.</w:t>
            </w:r>
          </w:p>
        </w:tc>
        <w:tc>
          <w:tcPr>
            <w:tcW w:w="8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Mittel</w:t>
            </w:r>
          </w:p>
        </w:tc>
        <w:tc>
          <w:tcPr>
            <w:tcW w:w="2381"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Die Anwendung ist über Browser oder API zeitweise nicht erreichbar.</w:t>
            </w:r>
          </w:p>
        </w:tc>
        <w:tc>
          <w:tcPr>
            <w:tcW w:w="357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Erreichbarkeit regelmässig prüfen und das Vorgehen zum Neustart dokumentieren.</w:t>
            </w:r>
          </w:p>
        </w:tc>
      </w:tr>
    </w:tbl>
    <w:p>
      <w:pPr>
        <w:pStyle w:val="Caption1"/>
        <w:keepNext w:val="true"/>
        <w:rPr/>
      </w:pPr>
      <w:bookmarkStart w:id="19" w:name="_Toc239708043"/>
      <w:r>
        <w:rPr/>
        <w:t xml:space="preserve">Tabelle </w:t>
      </w:r>
      <w:r>
        <w:rPr/>
        <w:fldChar w:fldCharType="begin"/>
      </w:r>
      <w:r>
        <w:rPr/>
        <w:instrText xml:space="preserve"> SEQ Tabelle \* ARABIC </w:instrText>
      </w:r>
      <w:r>
        <w:rPr/>
        <w:fldChar w:fldCharType="separate"/>
      </w:r>
      <w:r>
        <w:rPr/>
        <w:t>4</w:t>
      </w:r>
      <w:r>
        <w:rPr/>
        <w:fldChar w:fldCharType="end"/>
      </w:r>
      <w:r>
        <w:rPr/>
        <w:t xml:space="preserve"> Projektrisiken und Gegenmassnahmen</w:t>
      </w:r>
      <w:bookmarkEnd w:id="19"/>
      <w:r>
        <w:br w:type="page"/>
      </w:r>
    </w:p>
    <w:p>
      <w:pPr>
        <w:pStyle w:val="Heading1"/>
        <w:keepNext w:val="true"/>
        <w:rPr/>
      </w:pPr>
      <w:bookmarkStart w:id="20" w:name="__RefHeading___Toc8977_803372697"/>
      <w:bookmarkStart w:id="21" w:name="_Toc239707999"/>
      <w:bookmarkEnd w:id="20"/>
      <w:r>
        <w:rPr/>
        <w:t>3 Anforderungsanalyse</w:t>
      </w:r>
      <w:bookmarkEnd w:id="21"/>
    </w:p>
    <w:p>
      <w:pPr>
        <w:pStyle w:val="Normal"/>
        <w:rPr/>
      </w:pPr>
      <w:r>
        <w:rPr/>
        <w:t>Die Anforderungsanalyse konkretisiert die Muss- und Kann-Ziele von RepairHub. Sie unterscheidet zwischen funktionalen Anforderungen, welche die Funktionen der Anwendung beschreiben, und nichtfunktionalen Anforderungen, welche deren Qualität festlegen. Jede Anforderung wird den zugehörigen Zielen zugeordnet. Positive und negative Szenarien beschreiben das erwartete Verhalten bei erfolgreicher Nutzung sowie bei Fehlern oder unzulässigen Aktionen.</w:t>
      </w:r>
    </w:p>
    <w:p>
      <w:pPr>
        <w:pStyle w:val="Heading2"/>
        <w:keepNext w:val="true"/>
        <w:ind w:start="0" w:hanging="0"/>
        <w:rPr/>
      </w:pPr>
      <w:bookmarkStart w:id="22" w:name="__RefHeading___Toc8979_803372697"/>
      <w:bookmarkStart w:id="23" w:name="_Toc239708000"/>
      <w:bookmarkEnd w:id="22"/>
      <w:r>
        <w:rPr/>
        <w:t>3.1 Funktionale Anforderungen</w:t>
      </w:r>
      <w:bookmarkEnd w:id="23"/>
    </w:p>
    <w:p>
      <w:pPr>
        <w:pStyle w:val="Normal"/>
        <w:rPr/>
      </w:pPr>
      <w:r>
        <w:rPr/>
        <w:t>Die funktionalen Anforderungen werden nach den Zielen M01 bis M07 und K01 bis K04 gruppiert. Die Anforderungen aus den Muss-Zielen bilden den verbindlichen Funktionsumfang. Anforderungen aus den Kann-Zielen werden bei ausreichendem Zeitbudget umgesetzt. Die eindeutigen Anforderungs-IDs ermöglichen eine spätere Zuordnung zu den Testfällen. In der ersten Tabellenspalte stehen die Anforderungs-ID und darunter der Zielbezug.</w:t>
      </w:r>
    </w:p>
    <w:tbl>
      <w:tblPr>
        <w:tblW w:w="9071" w:type="dxa"/>
        <w:jc w:val="start"/>
        <w:tblInd w:w="0" w:type="dxa"/>
        <w:tblLayout w:type="fixed"/>
        <w:tblCellMar>
          <w:top w:w="70" w:type="dxa"/>
          <w:start w:w="90" w:type="dxa"/>
          <w:bottom w:w="70" w:type="dxa"/>
          <w:end w:w="90" w:type="dxa"/>
        </w:tblCellMar>
        <w:tblLook w:val="04a0" w:noHBand="0" w:noVBand="1" w:firstColumn="1" w:lastRow="0" w:lastColumn="0" w:firstRow="1"/>
      </w:tblPr>
      <w:tblGrid>
        <w:gridCol w:w="849"/>
        <w:gridCol w:w="2949"/>
        <w:gridCol w:w="2438"/>
        <w:gridCol w:w="2834"/>
      </w:tblGrid>
      <w:tr>
        <w:trPr>
          <w:tblHeader w:val="true"/>
          <w:cantSplit w:val="true"/>
        </w:trPr>
        <w:tc>
          <w:tcPr>
            <w:tcW w:w="849"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ID / Ziel</w:t>
            </w:r>
          </w:p>
        </w:tc>
        <w:tc>
          <w:tcPr>
            <w:tcW w:w="2949"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Funktionale Anforderung</w:t>
            </w:r>
          </w:p>
        </w:tc>
        <w:tc>
          <w:tcPr>
            <w:tcW w:w="2438"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Positives Szenario</w:t>
            </w:r>
          </w:p>
        </w:tc>
        <w:tc>
          <w:tcPr>
            <w:tcW w:w="2834"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Negatives Szenario</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F01</w:t>
              <w:br/>
              <w:t>M01</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Registrierung mit eindeutigem Benutzernamen, eindeutiger E-Mail und Passwort (8–128 Zeichen); E-Mail-Bestätigung vor Anmeldung.</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Vollständige und gültige Angaben führen zur Erstellung eines Kontos.</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Fehlende Pflichtangaben, eine ungültige E-Mail-Adresse oder ein bereits verwendeter Benutzername verhindern die Registrierung.</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F02</w:t>
              <w:br/>
              <w:t>M01</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Anmeldung mit E-Mail oder Benutzername und Passwort; Abmeldung beendet die Sitzung. Passwort-Recovery per E-Mail ist zusätzlich enthalten.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Korrekte Zugangsdaten ermöglichen die Anmeldung; die Abmeldung beendet die Sitzung.</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Falsche Zugangsdaten werden abgewiesen. Nach der Abmeldung ist kein Zugriff auf geschützte Seiten möglich.</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F03</w:t>
              <w:br/>
              <w:t>M02</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Geräte können mit Bezeichnung, Hersteller und Modell erfasst, angezeigt und bearbeitet werden.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Gerät wird gespeichert; Änderungen werden nach erneutem Laden angezeigt.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Fehlende Pflichtangaben verhindern das Speichern.</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F04</w:t>
              <w:br/>
              <w:t>M02</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Reparaturfälle können zu einem vorhandenen eigenen Gerät angelegt, angezeigt und bearbeitet werden.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Reparaturfall wird dem ausgewählten Gerät zugeordnet.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Die Zuordnung zu einem nicht vorhandenen oder fremden Gerät wird abgewiesen.</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F05</w:t>
              <w:br/>
              <w:t>M03</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Zu jedem Reparaturfall kann eine Fehlerbeschreibung erfasst und bearbeitet werden.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Eine Fehlerbeschreibung wird gespeichert und angezeigt.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Eine leere Fehlerbeschreibung wird zurückgewiesen.</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F06</w:t>
              <w:br/>
              <w:t>M03</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Reparaturschritte können einem Reparaturfall zugeordnet, beschrieben und als erledigt gekennzeichnet werden.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Schritt wird gespeichert und sein Erledigungszustand aktualisiert.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Schritt ohne Beschreibung oder gültige Fallzuordnung wird nicht gespeichert.</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F07</w:t>
              <w:br/>
              <w:t>M03</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Der Reparaturstatus kann auf «Offen», «In Bearbeitung» oder «Abgeschlossen» gesetzt werden. Neue Fälle erhalten den Status «Offen».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Der aktuelle Status erscheint übereinstimmend in Übersicht und Detailansicht.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nicht zugelassener Statuswert wird abgewiesen.</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F08</w:t>
              <w:br/>
              <w:t>M04</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Ersatzteile können mit Bezeichnung, Einzelpreis und Menge einem Reparaturfall zugeordnet und bearbeitet werden.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Ersatzteil wird beim zugehörigen Reparaturfall angezeigt.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Eine fehlende Bezeichnung oder ungültige Fallzuordnung verhindert das Speichern.</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F09</w:t>
              <w:br/>
              <w:t>M04</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Einzelpreise müssen nichtnegative Zahlen und Mengen positive ganze Zahlen sein.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Einzelpreis von CHF 15 und eine Menge von 3 werden akzeptiert.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Negative Preise, Textwerte sowie Mengen von 0 oder 1,5 werden zurückgewiesen.</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F10</w:t>
              <w:br/>
              <w:t>M05</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Arbeitszeit in Stunden und Stundensatz können je Reparaturfall als nichtnegative Zahlen erfasst werden.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Eine Arbeitszeit von 2 Stunden und ein Stundensatz von CHF 80 werden gespeichert.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Negative oder nichtnumerische Werte werden zurückgewiesen.</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F11</w:t>
              <w:br/>
              <w:t>M05</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Die Gesamtkosten werden aus Arbeitszeit × Stundensatz und der Summe aus Ersatzteilmenge × Einzelpreis berechnet. Änderungen lösen eine Neuberechnung aus.</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2 Stunden zu CHF 80 und 3 Ersatzteile zu CHF 15 ergeben CHF 205. Ohne Ersatzteile betragen die Kosten CHF 160.</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vom Browser übermittelter, manipulierter Gesamtbetrag wird nicht übernommen; die Berechnung erfolgt serverseitig.</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F12</w:t>
              <w:br/>
              <w:t>M06</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API-Client authentifiziert sich ohne Browser über einen zuvor generierten API-Key im Authorization-Bearer-Header.</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Gültige Zugangsdaten ermöglichen authentifizierte Folgeanfragen.</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Falsche Zugangsdaten werden abgewiesen.</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F13</w:t>
              <w:br/>
              <w:t>M06</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Authentifizierte Clients können ausgewählte eigene Reparaturdaten mittels GET im JSON-Format abrufen.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Eine gültige Anfrage liefert die angeforderten eigenen Daten.</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Fehlende oder ungültige Authentifizierung sowie Zugriffe auf fremde oder unbekannte Datensätze werden ohne Datenpreisgabe abgewiesen.</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F14</w:t>
              <w:br/>
              <w:t>M06</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Die Reparaturendpunkte erlauben ausschliesslich lesenden Zugriff.</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Unterstützte GET-Anfragen werden verarbeitet.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Schreibende Anfragen an diese Endpunkte werden abgewiesen und verändern keine Daten.</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F15</w:t>
              <w:br/>
              <w:t>M07</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Die zentralen Funktionen sind über eine einheitliche Navigation im Webbrowser erreichbar.</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angemeldeter Benutzer kann Geräte und Reparaturfälle über die Oberfläche öffnen und bearbeiten.</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Eine unbekannte URL führt zu einer verständlichen Fehlerseite mit Rückweg zur Anwendung.</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F16</w:t>
              <w:br/>
              <w:t>K01</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Eigene Reparaturfälle können nach Suchbegriff und Bearbeitungsstatus gefiltert werden.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Passende Reparaturfälle werden angezeigt.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Ohne Treffer erscheint eine verständliche Meldung; fremde Fälle werden nicht angezeigt.</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F17</w:t>
              <w:br/>
              <w:t>K02</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Eine Übersicht zeigt die Anzahl eigener Reparaturfälle je Bearbeitungsstatus.</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Nach einem Statuswechsel werden die Kennzahlen beim nächsten Aufruf aktualisiert.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Ohne vorhandene Fälle werden Nullwerte angezeigt; fremde Fälle werden nicht mitgezählt.</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F18</w:t>
              <w:br/>
              <w:t>K03</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Bilder können einem eigenen Gerät oder Reparaturfall zugeordnet werden. Zulässige Dateitypen und eine maximale Dateigrösse werden im Entwurf festgelegt.</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Eine zulässige Bilddatei wird hochgeladen und angezeigt.</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Unzulässige, beschädigte oder zu grosse Dateien werden mit einer Fehlermeldung zurückgewiesen.</w:t>
            </w:r>
          </w:p>
        </w:tc>
      </w:tr>
      <w:tr>
        <w:trPr>
          <w:cantSplit w:val="true"/>
        </w:trPr>
        <w:tc>
          <w:tcPr>
            <w:tcW w:w="8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F19</w:t>
              <w:br/>
              <w:t>K04</w:t>
            </w:r>
          </w:p>
        </w:tc>
        <w:tc>
          <w:tcPr>
            <w:tcW w:w="2949"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Ein Reparaturbericht mit Falldaten und aktueller Kostenschätzung kann als PDF exportiert werden.</w:t>
            </w:r>
          </w:p>
        </w:tc>
        <w:tc>
          <w:tcPr>
            <w:tcW w:w="243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Der Bericht enthält die gespeicherten Daten des ausgewählten eigenen Reparaturfalls.</w:t>
            </w:r>
          </w:p>
        </w:tc>
        <w:tc>
          <w:tcPr>
            <w:tcW w:w="283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Der Export fremder oder nicht vorhandener Fälle wird verhindert.</w:t>
            </w:r>
          </w:p>
        </w:tc>
      </w:tr>
    </w:tbl>
    <w:p>
      <w:pPr>
        <w:pStyle w:val="Caption1"/>
        <w:keepNext w:val="true"/>
        <w:rPr/>
      </w:pPr>
      <w:bookmarkStart w:id="24" w:name="_Toc239708044"/>
      <w:r>
        <w:rPr/>
        <w:t xml:space="preserve">Tabelle </w:t>
      </w:r>
      <w:r>
        <w:rPr/>
        <w:fldChar w:fldCharType="begin"/>
      </w:r>
      <w:r>
        <w:rPr/>
        <w:instrText xml:space="preserve"> SEQ Tabelle \* ARABIC </w:instrText>
      </w:r>
      <w:r>
        <w:rPr/>
        <w:fldChar w:fldCharType="separate"/>
      </w:r>
      <w:r>
        <w:rPr/>
        <w:t>5</w:t>
      </w:r>
      <w:r>
        <w:rPr/>
        <w:fldChar w:fldCharType="end"/>
      </w:r>
      <w:r>
        <w:rPr/>
        <w:t xml:space="preserve"> Funktionale Anforderungen und Szenarien</w:t>
      </w:r>
      <w:bookmarkEnd w:id="24"/>
    </w:p>
    <w:p>
      <w:pPr>
        <w:pStyle w:val="TableSource"/>
        <w:rPr/>
      </w:pPr>
      <w:r>
        <w:rPr/>
        <w:t>Eigene Darstellung</w:t>
      </w:r>
      <w:r>
        <w:br w:type="page"/>
      </w:r>
    </w:p>
    <w:p>
      <w:pPr>
        <w:pStyle w:val="Heading2"/>
        <w:keepNext w:val="true"/>
        <w:ind w:start="0" w:hanging="0"/>
        <w:rPr/>
      </w:pPr>
      <w:bookmarkStart w:id="25" w:name="__RefHeading___Toc8981_803372697"/>
      <w:bookmarkStart w:id="26" w:name="_Toc239708001"/>
      <w:bookmarkEnd w:id="25"/>
      <w:r>
        <w:rPr/>
        <w:t>3.2 Nichtfunktionale Anforderungen</w:t>
      </w:r>
      <w:bookmarkEnd w:id="26"/>
    </w:p>
    <w:p>
      <w:pPr>
        <w:pStyle w:val="Normal"/>
        <w:rPr/>
      </w:pPr>
      <w:r>
        <w:rPr/>
        <w:t>Die nichtfunktionalen Anforderungen legen fest, wie zuverlässig, sicher und verständlich die Funktionen bereitgestellt werden. Sie sind ebenfalls aus den Projektzielen abgeleitet. Übergreifende Qualitätsanforderungen erhalten mehrere Zielbezüge und werden nur einmal aufgeführt. Ihre Gültigkeit für Kann-Funktionen setzt deren Umsetzung voraus.</w:t>
      </w:r>
    </w:p>
    <w:tbl>
      <w:tblPr>
        <w:tblW w:w="9070" w:type="dxa"/>
        <w:jc w:val="start"/>
        <w:tblInd w:w="0" w:type="dxa"/>
        <w:tblLayout w:type="fixed"/>
        <w:tblCellMar>
          <w:top w:w="70" w:type="dxa"/>
          <w:start w:w="90" w:type="dxa"/>
          <w:bottom w:w="70" w:type="dxa"/>
          <w:end w:w="90" w:type="dxa"/>
        </w:tblCellMar>
        <w:tblLook w:val="04a0" w:noHBand="0" w:noVBand="1" w:firstColumn="1" w:lastRow="0" w:lastColumn="0" w:firstRow="1"/>
      </w:tblPr>
      <w:tblGrid>
        <w:gridCol w:w="1076"/>
        <w:gridCol w:w="2892"/>
        <w:gridCol w:w="2323"/>
        <w:gridCol w:w="2778"/>
      </w:tblGrid>
      <w:tr>
        <w:trPr>
          <w:tblHeader w:val="true"/>
          <w:cantSplit w:val="true"/>
        </w:trPr>
        <w:tc>
          <w:tcPr>
            <w:tcW w:w="1076"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ID / Ziel</w:t>
            </w:r>
          </w:p>
        </w:tc>
        <w:tc>
          <w:tcPr>
            <w:tcW w:w="2892"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Nichtfunktionale Anforderung</w:t>
            </w:r>
          </w:p>
        </w:tc>
        <w:tc>
          <w:tcPr>
            <w:tcW w:w="2323"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Positives Szenario</w:t>
            </w:r>
          </w:p>
        </w:tc>
        <w:tc>
          <w:tcPr>
            <w:tcW w:w="2778"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Negatives Szenario</w:t>
            </w:r>
          </w:p>
        </w:tc>
      </w:tr>
      <w:tr>
        <w:trPr>
          <w:cantSplit w:val="true"/>
        </w:trPr>
        <w:tc>
          <w:tcPr>
            <w:tcW w:w="107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N01</w:t>
              <w:br/>
              <w:t>M01</w:t>
            </w:r>
          </w:p>
        </w:tc>
        <w:tc>
          <w:tcPr>
            <w:tcW w:w="289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Passwortsicherheit: Passwörter werden ausschliesslich als gesalzene Hashwerte mit einem etablierten Passwort-Hashverfahren gespeichert.</w:t>
            </w:r>
          </w:p>
        </w:tc>
        <w:tc>
          <w:tcPr>
            <w:tcW w:w="232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Die Anmeldung prüft das eingegebene Passwort gegen den gespeicherten Hash.</w:t>
            </w:r>
          </w:p>
        </w:tc>
        <w:tc>
          <w:tcPr>
            <w:tcW w:w="277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Die Datenbank enthält keine Klartextpasswörter; gleiche Passwörter erzeugen durch unterschiedliche Salts keine identischen gespeicherten Werte.</w:t>
            </w:r>
          </w:p>
        </w:tc>
      </w:tr>
      <w:tr>
        <w:trPr>
          <w:cantSplit w:val="true"/>
        </w:trPr>
        <w:tc>
          <w:tcPr>
            <w:tcW w:w="107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N02</w:t>
              <w:br/>
              <w:t>M02–M04, M06; K01–K04</w:t>
            </w:r>
          </w:p>
        </w:tc>
        <w:tc>
          <w:tcPr>
            <w:tcW w:w="289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Persönliche Browser- und API-Zugänge sind eigentumsgebunden. Ausschliesslich der gesonderte System-Leseschlüssel darf Liste und Details aller Reparaturen lesen; keine Schreibrechte.</w:t>
            </w:r>
          </w:p>
        </w:tc>
        <w:tc>
          <w:tcPr>
            <w:tcW w:w="232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Eigene Daten können über die vorgesehenen Funktionen verwendet werden.</w:t>
            </w:r>
          </w:p>
        </w:tc>
        <w:tc>
          <w:tcPr>
            <w:tcW w:w="277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Manipulierte URLs, Formularwerte oder API-Anfragen ermöglichen weder das Lesen noch das Verändern fremder Daten.</w:t>
            </w:r>
          </w:p>
        </w:tc>
      </w:tr>
      <w:tr>
        <w:trPr>
          <w:cantSplit w:val="true"/>
        </w:trPr>
        <w:tc>
          <w:tcPr>
            <w:tcW w:w="107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N03</w:t>
              <w:br/>
              <w:t>M02–M04</w:t>
            </w:r>
          </w:p>
        </w:tc>
        <w:tc>
          <w:tcPr>
            <w:tcW w:w="289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Datenintegrität: Zusammengehörige Änderungen werden vollständig oder gar nicht gespeichert. Beziehungen zwischen Datensätzen bleiben gültig.</w:t>
            </w:r>
          </w:p>
        </w:tc>
        <w:tc>
          <w:tcPr>
            <w:tcW w:w="232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Reparaturschritt oder eine Ersatzteilzuordnung wird vollständig und korrekt gespeichert.</w:t>
            </w:r>
          </w:p>
        </w:tc>
        <w:tc>
          <w:tcPr>
            <w:tcW w:w="277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provozierter Speicherfehler hinterlässt keine teilweise gespeicherten Änderungen oder ungültigen Zuordnungen.</w:t>
            </w:r>
          </w:p>
        </w:tc>
      </w:tr>
      <w:tr>
        <w:trPr>
          <w:cantSplit w:val="true"/>
        </w:trPr>
        <w:tc>
          <w:tcPr>
            <w:tcW w:w="107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N04</w:t>
              <w:br/>
              <w:t>M02–M04</w:t>
            </w:r>
          </w:p>
        </w:tc>
        <w:tc>
          <w:tcPr>
            <w:tcW w:w="289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Dauerhafte Speicherung: Erfolgreich gespeicherte Daten bleiben nach einem Neustart der Anwendung erhalten.</w:t>
            </w:r>
          </w:p>
        </w:tc>
        <w:tc>
          <w:tcPr>
            <w:tcW w:w="232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Geräte, Reparaturfälle und zugehörige Angaben sind nach dem Neustart unverändert vorhanden.</w:t>
            </w:r>
          </w:p>
        </w:tc>
        <w:tc>
          <w:tcPr>
            <w:tcW w:w="277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Neustart darf zuvor bestätigte Änderungen nicht verlieren lassen.</w:t>
            </w:r>
          </w:p>
        </w:tc>
      </w:tr>
      <w:tr>
        <w:trPr>
          <w:cantSplit w:val="true"/>
        </w:trPr>
        <w:tc>
          <w:tcPr>
            <w:tcW w:w="107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N05</w:t>
              <w:br/>
              <w:t>M04, M05; K04</w:t>
            </w:r>
          </w:p>
        </w:tc>
        <w:tc>
          <w:tcPr>
            <w:tcW w:w="289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Berechnungsgenauigkeit: Geldbeträge werden mit geeigneter Dezimalarithmetik verarbeitet und nach einer einheitlichen Regel auf zwei Nachkommastellen ausgegeben.</w:t>
            </w:r>
          </w:p>
        </w:tc>
        <w:tc>
          <w:tcPr>
            <w:tcW w:w="232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Drei Ersatzteile zu CHF 0.10 ergeben CHF 0.30; Oberfläche und PDF zeigen denselben Betrag.</w:t>
            </w:r>
          </w:p>
        </w:tc>
        <w:tc>
          <w:tcPr>
            <w:tcW w:w="277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Rundungsartefakte dürfen weder falsche Summen noch unterschiedliche Beträge in den Ausgaben verursachen.</w:t>
            </w:r>
          </w:p>
        </w:tc>
      </w:tr>
      <w:tr>
        <w:trPr>
          <w:cantSplit w:val="true"/>
        </w:trPr>
        <w:tc>
          <w:tcPr>
            <w:tcW w:w="107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N06</w:t>
              <w:br/>
              <w:t>M01–M05, M07; K01–K04</w:t>
            </w:r>
          </w:p>
        </w:tc>
        <w:tc>
          <w:tcPr>
            <w:tcW w:w="289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Bedienbarkeit: Beschriftungen und Rückmeldungen sind einheitlich und verständlich. Bei Eingabefehlern bleiben gültige Angaben soweit möglich erhalten; Passwörter werden nicht erneut ausgegeben.</w:t>
            </w:r>
          </w:p>
        </w:tc>
        <w:tc>
          <w:tcPr>
            <w:tcW w:w="232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Nach einer Korrektur kann ein Formular ohne vollständige Neueingabe gespeichert werden.</w:t>
            </w:r>
          </w:p>
        </w:tc>
        <w:tc>
          <w:tcPr>
            <w:tcW w:w="277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Eine ungültige Eingabe führt weder zu einer technischen Fehlerseite noch zu einer irreführenden Erfolgsmeldung.</w:t>
            </w:r>
          </w:p>
        </w:tc>
      </w:tr>
      <w:tr>
        <w:trPr>
          <w:cantSplit w:val="true"/>
        </w:trPr>
        <w:tc>
          <w:tcPr>
            <w:tcW w:w="107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N07</w:t>
              <w:br/>
              <w:t>M01, M06, M07</w:t>
            </w:r>
          </w:p>
        </w:tc>
        <w:tc>
          <w:tcPr>
            <w:tcW w:w="289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Übertragungssicherheit: Weboberfläche und API werden über HTTPS bereitgestellt.</w:t>
            </w:r>
          </w:p>
        </w:tc>
        <w:tc>
          <w:tcPr>
            <w:tcW w:w="232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Browser und API-Client können eine gültig abgesicherte Verbindung herstellen.</w:t>
            </w:r>
          </w:p>
        </w:tc>
        <w:tc>
          <w:tcPr>
            <w:tcW w:w="277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Über einen unverschlüsselten HTTP-Zugang darf keine Anmeldung verarbeitet werden.</w:t>
            </w:r>
          </w:p>
        </w:tc>
      </w:tr>
      <w:tr>
        <w:trPr>
          <w:cantSplit w:val="true"/>
        </w:trPr>
        <w:tc>
          <w:tcPr>
            <w:tcW w:w="107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N08</w:t>
              <w:br/>
              <w:t>M07</w:t>
            </w:r>
          </w:p>
        </w:tc>
        <w:tc>
          <w:tcPr>
            <w:tcW w:w="289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Verfügbarkeit und Wiederherstellung: Die Anwendung bleibt mindestens vier Wochen nach Abgabe erreichbar. Ein Neustart ist anhand dokumentierter Schritte möglich.</w:t>
            </w:r>
          </w:p>
        </w:tc>
        <w:tc>
          <w:tcPr>
            <w:tcW w:w="232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Die Anwendung ist von einem externen Anschluss erreichbar und kann nach einem kontrollierten Stopp wieder gestartet werden.</w:t>
            </w:r>
          </w:p>
        </w:tc>
        <w:tc>
          <w:tcPr>
            <w:tcW w:w="277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erkannter Ausfall wird untersucht und behoben; eine Wiederherstellung darf keine undokumentierten Einrichtungsschritte erfordern.</w:t>
            </w:r>
          </w:p>
        </w:tc>
      </w:tr>
      <w:tr>
        <w:trPr>
          <w:cantSplit w:val="true"/>
        </w:trPr>
        <w:tc>
          <w:tcPr>
            <w:tcW w:w="107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N09</w:t>
              <w:br/>
              <w:t>M01–M07</w:t>
            </w:r>
          </w:p>
        </w:tc>
        <w:tc>
          <w:tcPr>
            <w:tcW w:w="289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Fehlerbehandlung: Technische Fehler werden nachvollziehbar protokolliert. Benutzer erhalten verständliche Meldungen ohne interne Details.</w:t>
            </w:r>
          </w:p>
        </w:tc>
        <w:tc>
          <w:tcPr>
            <w:tcW w:w="232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 Fehler kann anhand der Protokollierung untersucht werden.</w:t>
            </w:r>
          </w:p>
        </w:tc>
        <w:tc>
          <w:tcPr>
            <w:tcW w:w="277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Bei einem Datenbankausfall werden weder Passwörter noch Zugangsschlüssel oder interne Fehlerberichte an Benutzer ausgegeben.</w:t>
            </w:r>
          </w:p>
        </w:tc>
      </w:tr>
      <w:tr>
        <w:trPr>
          <w:cantSplit w:val="true"/>
        </w:trPr>
        <w:tc>
          <w:tcPr>
            <w:tcW w:w="1076"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N10</w:t>
              <w:br/>
              <w:t>M03–M06; K04</w:t>
            </w:r>
          </w:p>
        </w:tc>
        <w:tc>
          <w:tcPr>
            <w:tcW w:w="2892"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Wartbarkeit: Fachlogik, Datenzugriff und Darstellung sind nachvollziehbar gegliedert. Die Kostenberechnung wird zentral umgesetzt.</w:t>
            </w:r>
          </w:p>
        </w:tc>
        <w:tc>
          <w:tcPr>
            <w:tcW w:w="232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Oberfläche, API und gegebenenfalls PDF verwenden dieselbe Berechnungslogik.</w:t>
            </w:r>
          </w:p>
        </w:tc>
        <w:tc>
          <w:tcPr>
            <w:tcW w:w="2778"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Eine Codeprüfung darf keine voneinander abweichenden Kopien der Kostenberechnung feststellen.</w:t>
            </w:r>
          </w:p>
        </w:tc>
      </w:tr>
    </w:tbl>
    <w:p>
      <w:pPr>
        <w:pStyle w:val="Caption1"/>
        <w:keepNext w:val="true"/>
        <w:rPr/>
      </w:pPr>
      <w:bookmarkStart w:id="27" w:name="_Toc239708045"/>
      <w:r>
        <w:rPr/>
        <w:t xml:space="preserve">Tabelle </w:t>
      </w:r>
      <w:r>
        <w:rPr/>
        <w:fldChar w:fldCharType="begin"/>
      </w:r>
      <w:r>
        <w:rPr/>
        <w:instrText xml:space="preserve"> SEQ Tabelle \* ARABIC </w:instrText>
      </w:r>
      <w:r>
        <w:rPr/>
        <w:fldChar w:fldCharType="separate"/>
      </w:r>
      <w:r>
        <w:rPr/>
        <w:t>6</w:t>
      </w:r>
      <w:r>
        <w:rPr/>
        <w:fldChar w:fldCharType="end"/>
      </w:r>
      <w:r>
        <w:rPr/>
        <w:t xml:space="preserve"> Nichtfunktionale Anforderungen und Szenarien</w:t>
      </w:r>
      <w:bookmarkEnd w:id="27"/>
    </w:p>
    <w:p>
      <w:pPr>
        <w:pStyle w:val="TableSource"/>
        <w:rPr/>
      </w:pPr>
      <w:r>
        <w:rPr/>
        <w:t>Eigene Darstellung</w:t>
      </w:r>
    </w:p>
    <w:p>
      <w:pPr>
        <w:pStyle w:val="Heading2"/>
        <w:keepNext w:val="true"/>
        <w:ind w:start="0" w:hanging="0"/>
        <w:rPr/>
      </w:pPr>
      <w:bookmarkStart w:id="28" w:name="__RefHeading___Toc8983_803372697"/>
      <w:bookmarkStart w:id="29" w:name="_Toc239708002"/>
      <w:bookmarkEnd w:id="28"/>
      <w:r>
        <w:rPr/>
        <w:t>3.3 Anwendungsfälle und Abnahmekriterien</w:t>
      </w:r>
      <w:bookmarkEnd w:id="29"/>
    </w:p>
    <w:p>
      <w:pPr>
        <w:pStyle w:val="Normal"/>
        <w:rPr/>
      </w:pPr>
      <w:r>
        <w:rPr/>
        <w:t>Die Anwendungsfälle verbinden die funktionalen und nichtfunktionalen Anforderungen zu überprüfbaren Abläufen. Die beiden Use-Case-Diagramme zeigen die beteiligten Rollen, die Systemgrenze und die fachliche Gruppierung. Die Anforderungs-IDs stellen den Bezug zu den Tabellen in den Abschnitten 3.1 und 3.2 her. Die Reparaturübersicht gehört zum Muss-Ziel M02; die gekennzeichneten Erweiterungen gehören zu den Kann-Zielen.</w:t>
      </w:r>
    </w:p>
    <w:p>
      <w:pPr>
        <w:pStyle w:val="Normal"/>
        <w:rPr/>
      </w:pPr>
      <w:r>
        <w:rPr/>
        <w:t>Die Übersicht grenzt Identität und Zugriff, Geräteverwaltung, Reparaturverwaltung, Ersatzteile und Kosten sowie die lesende REST-API voneinander ab. Diese fachlichen Bereiche dienen als Ausgangspunkt für die spätere Komponentenaufteilung. Geschützte Funktionen setzen eine gültige Anmeldung beziehungsweise API-Authentifizierung voraus und erlauben nur den Zugriff auf eigene Daten.</w:t>
      </w:r>
      <w:r>
        <w:br w:type="page"/>
      </w:r>
    </w:p>
    <w:p>
      <w:pPr>
        <w:pStyle w:val="Normal"/>
        <w:keepNext w:val="true"/>
        <w:jc w:val="center"/>
        <w:rPr/>
      </w:pPr>
      <w:r>
        <w:rPr/>
        <w:drawing>
          <wp:inline distT="0" distB="0" distL="0" distR="0">
            <wp:extent cx="5760085" cy="7916545"/>
            <wp:effectExtent l="0" t="0" r="0" b="0"/>
            <wp:docPr id="1" name="Picture 1" descr="Use-Case-Übersicht zu Rollen und Bereiche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Case-Übersicht zu Rollen und Bereichen" title=""/>
                    <pic:cNvPicPr>
                      <a:picLocks noChangeAspect="1" noChangeArrowheads="1"/>
                    </pic:cNvPicPr>
                  </pic:nvPicPr>
                  <pic:blipFill>
                    <a:blip r:embed="rId3"/>
                    <a:stretch>
                      <a:fillRect/>
                    </a:stretch>
                  </pic:blipFill>
                  <pic:spPr bwMode="auto">
                    <a:xfrm>
                      <a:off x="0" y="0"/>
                      <a:ext cx="5760085" cy="7916545"/>
                    </a:xfrm>
                    <a:prstGeom prst="rect">
                      <a:avLst/>
                    </a:prstGeom>
                  </pic:spPr>
                </pic:pic>
              </a:graphicData>
            </a:graphic>
          </wp:inline>
        </w:drawing>
      </w:r>
    </w:p>
    <w:p>
      <w:pPr>
        <w:pStyle w:val="Caption1"/>
        <w:keepNext w:val="true"/>
        <w:rPr/>
      </w:pPr>
      <w:bookmarkStart w:id="30" w:name="_Toc239708031"/>
      <w:r>
        <w:rPr/>
        <w:t xml:space="preserve">Abbildung </w:t>
      </w:r>
      <w:r>
        <w:rPr/>
        <w:fldChar w:fldCharType="begin"/>
      </w:r>
      <w:r>
        <w:rPr/>
        <w:instrText xml:space="preserve"> SEQ Abbildung \* ARABIC </w:instrText>
      </w:r>
      <w:r>
        <w:rPr/>
        <w:fldChar w:fldCharType="separate"/>
      </w:r>
      <w:r>
        <w:rPr/>
        <w:t>1</w:t>
      </w:r>
      <w:r>
        <w:rPr/>
        <w:fldChar w:fldCharType="end"/>
      </w:r>
      <w:r>
        <w:rPr/>
        <w:t xml:space="preserve"> Use-Case-Übersicht zu Rollen und Bereichen</w:t>
      </w:r>
      <w:bookmarkEnd w:id="30"/>
    </w:p>
    <w:p>
      <w:pPr>
        <w:pStyle w:val="TableSource"/>
        <w:rPr/>
      </w:pPr>
      <w:r>
        <w:rPr/>
        <w:t>Eigene Darstellung</w:t>
      </w:r>
      <w:r>
        <w:br w:type="page"/>
      </w:r>
    </w:p>
    <w:p>
      <w:pPr>
        <w:pStyle w:val="Normal"/>
        <w:rPr/>
      </w:pPr>
      <w:r>
        <w:rPr/>
        <w:t>Das Detaildiagramm zeigt die Beziehungen bei der Reparaturbearbeitung. «include» kennzeichnet zwingendes Teilverhalten, beispielsweise die Zuordnung eines Geräts beim Anlegen eines Reparaturfalls. «extend» kennzeichnet eine bedingte Ergänzung, beispielsweise den angeforderten PDF-Export. Fehlerfälle und unzulässige Aktionen werden in den Anforderungstabellen beschrieben und bei der Abnahme berücksichtigt.</w:t>
      </w:r>
    </w:p>
    <w:p>
      <w:pPr>
        <w:pStyle w:val="Normal"/>
        <w:keepNext w:val="true"/>
        <w:jc w:val="center"/>
        <w:rPr/>
      </w:pPr>
      <w:r>
        <w:rPr/>
        <w:drawing>
          <wp:inline distT="0" distB="0" distL="0" distR="0">
            <wp:extent cx="5760085" cy="5262245"/>
            <wp:effectExtent l="0" t="0" r="0" b="0"/>
            <wp:docPr id="2" name="Picture 2" descr="Use-Case-Details zu Reparaturbearbeitung und Koste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Case-Details zu Reparaturbearbeitung und Kosten" title=""/>
                    <pic:cNvPicPr>
                      <a:picLocks noChangeAspect="1" noChangeArrowheads="1"/>
                    </pic:cNvPicPr>
                  </pic:nvPicPr>
                  <pic:blipFill>
                    <a:blip r:embed="rId4"/>
                    <a:stretch>
                      <a:fillRect/>
                    </a:stretch>
                  </pic:blipFill>
                  <pic:spPr bwMode="auto">
                    <a:xfrm>
                      <a:off x="0" y="0"/>
                      <a:ext cx="5760085" cy="5262245"/>
                    </a:xfrm>
                    <a:prstGeom prst="rect">
                      <a:avLst/>
                    </a:prstGeom>
                  </pic:spPr>
                </pic:pic>
              </a:graphicData>
            </a:graphic>
          </wp:inline>
        </w:drawing>
      </w:r>
    </w:p>
    <w:p>
      <w:pPr>
        <w:pStyle w:val="Caption1"/>
        <w:keepNext w:val="true"/>
        <w:rPr/>
      </w:pPr>
      <w:bookmarkStart w:id="31" w:name="_Toc239708032"/>
      <w:r>
        <w:rPr/>
        <w:t xml:space="preserve">Abbildung </w:t>
      </w:r>
      <w:r>
        <w:rPr/>
        <w:fldChar w:fldCharType="begin"/>
      </w:r>
      <w:r>
        <w:rPr/>
        <w:instrText xml:space="preserve"> SEQ Abbildung \* ARABIC </w:instrText>
      </w:r>
      <w:r>
        <w:rPr/>
        <w:fldChar w:fldCharType="separate"/>
      </w:r>
      <w:r>
        <w:rPr/>
        <w:t>2</w:t>
      </w:r>
      <w:r>
        <w:rPr/>
        <w:fldChar w:fldCharType="end"/>
      </w:r>
      <w:r>
        <w:rPr/>
        <w:t xml:space="preserve"> Use-Case-Details zu Reparaturbearbeitung und Kosten</w:t>
      </w:r>
      <w:bookmarkEnd w:id="31"/>
    </w:p>
    <w:p>
      <w:pPr>
        <w:pStyle w:val="TableSource"/>
        <w:rPr/>
      </w:pPr>
      <w:r>
        <w:rPr/>
        <w:t>Eigene Darstellung</w:t>
      </w:r>
      <w:r>
        <w:br w:type="page"/>
      </w:r>
    </w:p>
    <w:p>
      <w:pPr>
        <w:pStyle w:val="Normal"/>
        <w:rPr/>
      </w:pPr>
      <w:r>
        <w:rPr/>
        <w:t>Die folgenden Abnahmekriterien fassen die erwarteten Ergebnisse der zentralen Anwendungsfälle zusammen. Jeder Ablauf berücksichtigt sowohl die erfolgreiche Nutzung als auch relevante Fehlerfälle. Die referenzierten Anforderungs-IDs ermöglichen die Zuordnung der späteren Testergebnisse zu den Projektzielen.</w:t>
      </w:r>
    </w:p>
    <w:tbl>
      <w:tblPr>
        <w:tblW w:w="9071" w:type="dxa"/>
        <w:jc w:val="start"/>
        <w:tblInd w:w="0" w:type="dxa"/>
        <w:tblLayout w:type="fixed"/>
        <w:tblCellMar>
          <w:top w:w="70" w:type="dxa"/>
          <w:start w:w="90" w:type="dxa"/>
          <w:bottom w:w="70" w:type="dxa"/>
          <w:end w:w="90" w:type="dxa"/>
        </w:tblCellMar>
        <w:tblLook w:val="04a0" w:noHBand="0" w:noVBand="1" w:firstColumn="1" w:lastRow="0" w:lastColumn="0" w:firstRow="1"/>
      </w:tblPr>
      <w:tblGrid>
        <w:gridCol w:w="2040"/>
        <w:gridCol w:w="1417"/>
        <w:gridCol w:w="5614"/>
      </w:tblGrid>
      <w:tr>
        <w:trPr>
          <w:tblHeader w:val="true"/>
          <w:cantSplit w:val="true"/>
        </w:trPr>
        <w:tc>
          <w:tcPr>
            <w:tcW w:w="2040"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Anwendungsfall</w:t>
            </w:r>
          </w:p>
        </w:tc>
        <w:tc>
          <w:tcPr>
            <w:tcW w:w="1417"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Anforderungen</w:t>
            </w:r>
          </w:p>
        </w:tc>
        <w:tc>
          <w:tcPr>
            <w:tcW w:w="5614"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Abnahmekriterium</w:t>
            </w:r>
          </w:p>
        </w:tc>
      </w:tr>
      <w:tr>
        <w:trPr>
          <w:cantSplit w:val="true"/>
        </w:trPr>
        <w:tc>
          <w:tcPr>
            <w:tcW w:w="204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Benutzerkonto erstellen und verwenden</w:t>
            </w:r>
          </w:p>
        </w:tc>
        <w:tc>
          <w:tcPr>
            <w:tcW w:w="141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F01–F02, N01, N06–N07</w:t>
            </w:r>
          </w:p>
        </w:tc>
        <w:tc>
          <w:tcPr>
            <w:tcW w:w="561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Eine gültige Registrierung und Anmeldung funktionieren. Fehlerhafte Angaben werden abgewiesen, Passwörter sicher gespeichert und die Sitzung bei der Abmeldung beendet.</w:t>
            </w:r>
          </w:p>
        </w:tc>
      </w:tr>
      <w:tr>
        <w:trPr>
          <w:cantSplit w:val="true"/>
        </w:trPr>
        <w:tc>
          <w:tcPr>
            <w:tcW w:w="204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Gerät und Reparaturfall verwalten</w:t>
            </w:r>
          </w:p>
        </w:tc>
        <w:tc>
          <w:tcPr>
            <w:tcW w:w="141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F03–F04, N02–N04, N06</w:t>
            </w:r>
          </w:p>
        </w:tc>
        <w:tc>
          <w:tcPr>
            <w:tcW w:w="561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Eigene Datensätze können erstellt und bearbeitet werden. Ungültige Zuordnungen und Fremdzugriffe werden verhindert. Bestätigte Änderungen bleiben nach einem Neustart erhalten.</w:t>
            </w:r>
          </w:p>
        </w:tc>
      </w:tr>
      <w:tr>
        <w:trPr>
          <w:cantSplit w:val="true"/>
        </w:trPr>
        <w:tc>
          <w:tcPr>
            <w:tcW w:w="204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Reparaturverlauf dokumentieren</w:t>
            </w:r>
          </w:p>
        </w:tc>
        <w:tc>
          <w:tcPr>
            <w:tcW w:w="141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F05–F07, N02–N04, N06</w:t>
            </w:r>
          </w:p>
        </w:tc>
        <w:tc>
          <w:tcPr>
            <w:tcW w:w="561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Fehlerbeschreibung, Reparaturschritte und Status werden korrekt gespeichert und angezeigt. Leere Pflichtangaben, ungültige Statuswerte und fremde Fallzuordnungen werden abgewiesen.</w:t>
            </w:r>
          </w:p>
        </w:tc>
      </w:tr>
      <w:tr>
        <w:trPr>
          <w:cantSplit w:val="true"/>
        </w:trPr>
        <w:tc>
          <w:tcPr>
            <w:tcW w:w="204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Ersatzteile zuordnen und Kosten berechnen</w:t>
            </w:r>
          </w:p>
        </w:tc>
        <w:tc>
          <w:tcPr>
            <w:tcW w:w="141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F08–F11, N02–N06, N10</w:t>
            </w:r>
          </w:p>
        </w:tc>
        <w:tc>
          <w:tcPr>
            <w:tcW w:w="561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Gültige Ersatzteile und Arbeitswerte ergeben den erwarteten Gesamtbetrag. Änderungen aktualisieren die Berechnung. Ungültige Werte und manipulierte Gesamtbeträge werden nicht übernommen.</w:t>
            </w:r>
          </w:p>
        </w:tc>
      </w:tr>
      <w:tr>
        <w:trPr>
          <w:cantSplit w:val="true"/>
        </w:trPr>
        <w:tc>
          <w:tcPr>
            <w:tcW w:w="204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Reparaturdaten über die API lesen</w:t>
            </w:r>
          </w:p>
        </w:tc>
        <w:tc>
          <w:tcPr>
            <w:tcW w:w="141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F12–F14, N02, N07, N09</w:t>
            </w:r>
          </w:p>
        </w:tc>
        <w:tc>
          <w:tcPr>
            <w:tcW w:w="561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Authentifizierung und Datenabruf funktionieren ohne Browser. Ungültige Zugriffe und schreibende Anfragen werden ohne unerlaubte Datenänderung oder Datenpreisgabe abgewiesen.</w:t>
            </w:r>
          </w:p>
        </w:tc>
      </w:tr>
      <w:tr>
        <w:trPr>
          <w:cantSplit w:val="true"/>
        </w:trPr>
        <w:tc>
          <w:tcPr>
            <w:tcW w:w="204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Anwendung über das Internet bedienen</w:t>
            </w:r>
          </w:p>
        </w:tc>
        <w:tc>
          <w:tcPr>
            <w:tcW w:w="141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F15, N06–N09</w:t>
            </w:r>
          </w:p>
        </w:tc>
        <w:tc>
          <w:tcPr>
            <w:tcW w:w="561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Die Anwendung ist extern über HTTPS bedienbar. Unbekannte URLs und technische Fehler werden verständlich behandelt. Ein kontrollierter Neustart ist erfolgreich.</w:t>
            </w:r>
          </w:p>
        </w:tc>
      </w:tr>
      <w:tr>
        <w:trPr>
          <w:cantSplit w:val="true"/>
        </w:trPr>
        <w:tc>
          <w:tcPr>
            <w:tcW w:w="204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Suche und Übersicht verwenden, sofern umgesetzt</w:t>
            </w:r>
          </w:p>
        </w:tc>
        <w:tc>
          <w:tcPr>
            <w:tcW w:w="141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F16–F17, N02, N06</w:t>
            </w:r>
          </w:p>
        </w:tc>
        <w:tc>
          <w:tcPr>
            <w:tcW w:w="561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Suchergebnisse und Kennzahlen stimmen mit den eigenen gespeicherten Fällen überein. Leere Ergebnisse werden verständlich dargestellt.</w:t>
            </w:r>
          </w:p>
        </w:tc>
      </w:tr>
      <w:tr>
        <w:trPr>
          <w:cantSplit w:val="true"/>
        </w:trPr>
        <w:tc>
          <w:tcPr>
            <w:tcW w:w="204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Bilder und PDF verwenden, sofern umgesetzt</w:t>
            </w:r>
          </w:p>
        </w:tc>
        <w:tc>
          <w:tcPr>
            <w:tcW w:w="141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F18–F19, N02, N05–N06</w:t>
            </w:r>
          </w:p>
        </w:tc>
        <w:tc>
          <w:tcPr>
            <w:tcW w:w="5614"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Zulässige Bilder werden korrekt zugeordnet und PDF-Berichte enthalten die aktuellen eigenen Falldaten. Unzulässige Dateien und fremde Zugriffe werden verhindert.</w:t>
            </w:r>
          </w:p>
        </w:tc>
      </w:tr>
    </w:tbl>
    <w:p>
      <w:pPr>
        <w:pStyle w:val="Caption1"/>
        <w:keepNext w:val="true"/>
        <w:rPr/>
      </w:pPr>
      <w:bookmarkStart w:id="32" w:name="_Toc239708046"/>
      <w:r>
        <w:rPr/>
        <w:t xml:space="preserve">Tabelle </w:t>
      </w:r>
      <w:r>
        <w:rPr/>
        <w:fldChar w:fldCharType="begin"/>
      </w:r>
      <w:r>
        <w:rPr/>
        <w:instrText xml:space="preserve"> SEQ Tabelle \* ARABIC </w:instrText>
      </w:r>
      <w:r>
        <w:rPr/>
        <w:fldChar w:fldCharType="separate"/>
      </w:r>
      <w:r>
        <w:rPr/>
        <w:t>7</w:t>
      </w:r>
      <w:r>
        <w:rPr/>
        <w:fldChar w:fldCharType="end"/>
      </w:r>
      <w:r>
        <w:rPr/>
        <w:t xml:space="preserve"> Anwendungsfälle und Abnahmekriterien</w:t>
      </w:r>
      <w:bookmarkEnd w:id="32"/>
    </w:p>
    <w:p>
      <w:pPr>
        <w:pStyle w:val="TableSource"/>
        <w:rPr/>
      </w:pPr>
      <w:r>
        <w:rPr/>
        <w:t>Eigene Darstellung</w:t>
      </w:r>
    </w:p>
    <w:p>
      <w:pPr>
        <w:pStyle w:val="Normal"/>
        <w:rPr/>
      </w:pPr>
      <w:r>
        <w:rPr/>
        <w:t>Ein Anwendungsfall gilt als erfüllt, wenn die zugeordneten Anforderungen und die ausgewählten positiven und negativen Szenarien das erwartete Ergebnis liefern. Im Testprotokoll werden Durchführung, Soll- und Ist-Ergebnis sowie festgestellte Abweichungen dokumentiert. Nicht erfüllte Anforderungen werden mit ihren Auswirkungen und ihrem Bearbeitungsstand ausgewiesen.</w:t>
      </w:r>
      <w:r>
        <w:br w:type="page"/>
      </w:r>
    </w:p>
    <w:p>
      <w:pPr>
        <w:pStyle w:val="Heading1"/>
        <w:keepNext w:val="true"/>
        <w:rPr/>
      </w:pPr>
      <w:bookmarkStart w:id="33" w:name="__RefHeading___Toc8985_803372697"/>
      <w:bookmarkStart w:id="34" w:name="_Toc239708003"/>
      <w:bookmarkEnd w:id="33"/>
      <w:r>
        <w:rPr/>
        <w:t>4 Architektur und Lösungsentwurf</w:t>
      </w:r>
      <w:bookmarkEnd w:id="34"/>
    </w:p>
    <w:p>
      <w:pPr>
        <w:pStyle w:val="Normal"/>
        <w:rPr/>
      </w:pPr>
      <w:r>
        <w:rPr/>
        <w:t>Die Architektur von RepairHub legt fest, wie die Anforderungen technisch umgesetzt werden. Grundlage bilden die fachlichen Bereiche der Anforderungsanalyse: Benutzerverwaltung, Geräteverwaltung, Reparaturverwaltung, Ersatzteile und Kosten sowie die REST-API. Der Entwurf beschreibt deren Zusammenspiel, die Datenhaltung und die Bereitstellung der Anwendung.</w:t>
      </w:r>
    </w:p>
    <w:p>
      <w:pPr>
        <w:pStyle w:val="Heading2"/>
        <w:keepNext w:val="true"/>
        <w:ind w:start="0" w:hanging="0"/>
        <w:rPr/>
      </w:pPr>
      <w:bookmarkStart w:id="35" w:name="__RefHeading___Toc8987_803372697"/>
      <w:bookmarkStart w:id="36" w:name="_Toc239708004"/>
      <w:bookmarkEnd w:id="35"/>
      <w:r>
        <w:rPr/>
        <w:t>4.1 Systemarchitektur und Technologiewahl</w:t>
      </w:r>
      <w:bookmarkEnd w:id="36"/>
    </w:p>
    <w:p>
      <w:pPr>
        <w:pStyle w:val="Normal"/>
        <w:rPr/>
      </w:pPr>
      <w:r>
        <w:rPr/>
        <w:t>RepairHub ist ein modularer Flask-Monolith. Die Fachdomänen users, devices, repairs, parts und costs liegen unter app.domains und enthalten vertikale Anwendungsfälle. Domain-Handler kennen nur Standardbibliothek, eigene Ports und DTOs; Flask und Datenbank bleiben ausserhalb des Fachkerns. app.bootstrap erzeugt die Adapter und injiziert sie. Der Aufrufweg ist Präsentation → Handler → Port → Adapter (RepairHub, 2026a).</w:t>
      </w:r>
    </w:p>
    <w:p>
      <w:pPr>
        <w:pStyle w:val="Normal"/>
        <w:rPr/>
      </w:pPr>
      <w:r>
        <w:rPr/>
        <w:t>Präsentation, fachliche Anwendungsfälle und technische Adapter bleiben getrennte Verantwortlichkeiten. Die neuere Benutzerentscheidung dreht die Quellcode-Abhängigkeit um: Ein Datenadapter implementiert den Port des Anwendungsfalls. Fachdomänen importieren weder Flask noch SQLAlchemy noch konkrete Adapter. Zwischen Slices sind keine Imports zulässig. repairs und parts dürfen die reine Kostenberechnung verwenden (RepairHub, 2026a).</w:t>
      </w:r>
    </w:p>
    <w:p>
      <w:pPr>
        <w:pStyle w:val="Normal"/>
        <w:keepNext w:val="true"/>
        <w:jc w:val="center"/>
        <w:rPr/>
      </w:pPr>
      <w:r>
        <w:rPr/>
        <w:drawing>
          <wp:inline distT="0" distB="0" distL="0" distR="0">
            <wp:extent cx="5579745" cy="1641475"/>
            <wp:effectExtent l="0" t="0" r="0" b="0"/>
            <wp:docPr id="3"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descr="" title=""/>
                    <pic:cNvPicPr>
                      <a:picLocks noChangeAspect="1" noChangeArrowheads="1"/>
                    </pic:cNvPicPr>
                  </pic:nvPicPr>
                  <pic:blipFill>
                    <a:blip r:embed="rId5"/>
                    <a:stretch>
                      <a:fillRect/>
                    </a:stretch>
                  </pic:blipFill>
                  <pic:spPr bwMode="auto">
                    <a:xfrm>
                      <a:off x="0" y="0"/>
                      <a:ext cx="5579745" cy="1641475"/>
                    </a:xfrm>
                    <a:prstGeom prst="rect">
                      <a:avLst/>
                    </a:prstGeom>
                  </pic:spPr>
                </pic:pic>
              </a:graphicData>
            </a:graphic>
          </wp:inline>
        </w:drawing>
      </w:r>
    </w:p>
    <w:p>
      <w:pPr>
        <w:pStyle w:val="Caption1"/>
        <w:keepNext w:val="true"/>
        <w:rPr/>
      </w:pPr>
      <w:bookmarkStart w:id="37" w:name="_Toc239708033"/>
      <w:r>
        <w:rPr/>
        <w:t xml:space="preserve">Abbildung </w:t>
      </w:r>
      <w:r>
        <w:rPr/>
        <w:fldChar w:fldCharType="begin"/>
      </w:r>
      <w:r>
        <w:rPr/>
        <w:instrText xml:space="preserve"> SEQ Abbildung \* ARABIC </w:instrText>
      </w:r>
      <w:r>
        <w:rPr/>
        <w:fldChar w:fldCharType="separate"/>
      </w:r>
      <w:r>
        <w:rPr/>
        <w:t>3</w:t>
      </w:r>
      <w:r>
        <w:rPr/>
        <w:fldChar w:fldCharType="end"/>
      </w:r>
      <w:r>
        <w:rPr/>
        <w:t xml:space="preserve"> Verantwortlichkeiten und Abhängigkeitsumkehr</w:t>
      </w:r>
      <w:bookmarkEnd w:id="37"/>
    </w:p>
    <w:p>
      <w:pPr>
        <w:pStyle w:val="TableSource"/>
        <w:rPr/>
      </w:pPr>
      <w:r>
        <w:rPr/>
        <w:t>Eigene Darstellung</w:t>
      </w:r>
      <w:r>
        <w:br w:type="page"/>
      </w:r>
    </w:p>
    <w:p>
      <w:pPr>
        <w:pStyle w:val="Normal"/>
        <w:rPr/>
      </w:pPr>
      <w:r>
        <w:rPr/>
        <w:t>Die fachlichen Bereiche werden innerhalb dieser Schichten als Module umgesetzt. Weboberfläche und REST-API verwenden dieselbe Anwendungslogik. Insbesondere die Eigentumsprüfung und Kostenberechnung werden zentral implementiert. Die Kostenberechnung erhält validierte Arbeitswerte und Ersatzteilpositionen; ein eigener Datenbankzugriff ist dafür nicht erforderlich.</w:t>
      </w:r>
    </w:p>
    <w:p>
      <w:pPr>
        <w:pStyle w:val="Normal"/>
        <w:keepNext w:val="true"/>
        <w:jc w:val="center"/>
        <w:rPr/>
      </w:pPr>
      <w:r>
        <w:rPr/>
        <w:drawing>
          <wp:inline distT="0" distB="0" distL="0" distR="0">
            <wp:extent cx="5579745" cy="4895215"/>
            <wp:effectExtent l="0" t="0" r="0" b="0"/>
            <wp:docPr id="4"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descr="" title=""/>
                    <pic:cNvPicPr>
                      <a:picLocks noChangeAspect="1" noChangeArrowheads="1"/>
                    </pic:cNvPicPr>
                  </pic:nvPicPr>
                  <pic:blipFill>
                    <a:blip r:embed="rId6"/>
                    <a:stretch>
                      <a:fillRect/>
                    </a:stretch>
                  </pic:blipFill>
                  <pic:spPr bwMode="auto">
                    <a:xfrm>
                      <a:off x="0" y="0"/>
                      <a:ext cx="5579745" cy="4895215"/>
                    </a:xfrm>
                    <a:prstGeom prst="rect">
                      <a:avLst/>
                    </a:prstGeom>
                  </pic:spPr>
                </pic:pic>
              </a:graphicData>
            </a:graphic>
          </wp:inline>
        </w:drawing>
      </w:r>
    </w:p>
    <w:p>
      <w:pPr>
        <w:pStyle w:val="Caption1"/>
        <w:keepNext w:val="true"/>
        <w:rPr/>
      </w:pPr>
      <w:bookmarkStart w:id="38" w:name="_Toc239708034"/>
      <w:r>
        <w:rPr/>
        <w:t xml:space="preserve">Abbildung </w:t>
      </w:r>
      <w:r>
        <w:rPr/>
        <w:fldChar w:fldCharType="begin"/>
      </w:r>
      <w:r>
        <w:rPr/>
        <w:instrText xml:space="preserve"> SEQ Abbildung \* ARABIC </w:instrText>
      </w:r>
      <w:r>
        <w:rPr/>
        <w:fldChar w:fldCharType="separate"/>
      </w:r>
      <w:r>
        <w:rPr/>
        <w:t>4</w:t>
      </w:r>
      <w:r>
        <w:rPr/>
        <w:fldChar w:fldCharType="end"/>
      </w:r>
      <w:r>
        <w:rPr/>
        <w:t xml:space="preserve"> Komponenten und Abhängigkeiten von RepairHub</w:t>
      </w:r>
      <w:bookmarkEnd w:id="38"/>
    </w:p>
    <w:p>
      <w:pPr>
        <w:pStyle w:val="TableSource"/>
        <w:rPr/>
      </w:pPr>
      <w:r>
        <w:rPr/>
        <w:t>Eigene Darstellung</w:t>
      </w:r>
    </w:p>
    <w:p>
      <w:pPr>
        <w:pStyle w:val="Normal"/>
        <w:rPr/>
      </w:pPr>
      <w:r>
        <w:rPr/>
        <w:t>Der modulare Aufbau unterstützt die Wartbarkeit, da fachliche Änderungen einem klaren Bereich zugeordnet werden können. Gleichzeitig bleibt die Bereitstellung einfacher als bei mehreren unabhängig betriebenen Diensten. Eine Einschränkung besteht darin, dass die Module gemeinsam bereitgestellt werden und ein Ausfall der Anwendung sämtliche Funktionen betrifft.</w:t>
      </w:r>
    </w:p>
    <w:p>
      <w:pPr>
        <w:pStyle w:val="Normal"/>
        <w:rPr/>
      </w:pPr>
      <w:r>
        <w:rPr/>
        <w:t>Für eine spätere Skalierung können mehrere Anwendungsprozesse eingesetzt werden. Dabei müssen insbesondere Datenbankverbindungen, Sitzungen und gegebenenfalls hochgeladene Dateien berücksichtigt werden. Eine verteilte Bereitstellung ist für die erste Version nicht vorgesehen.</w:t>
      </w:r>
      <w:r>
        <w:br w:type="page"/>
      </w:r>
    </w:p>
    <w:p>
      <w:pPr>
        <w:pStyle w:val="Normal"/>
        <w:rPr/>
      </w:pPr>
      <w:r>
        <w:rPr/>
        <w:t>Die folgende Technologieauswahl ist umgesetzt. Python 3.13.15 und die Abhängigkeiten sind im Repository festgelegt. Bootstrap wird lokal ausgeliefert; kleine JavaScript-DOM-Adapter binden unabhängig testbare Presenter an. Flask-Security übernimmt die technischen Identitätsfunktionen hinter injizierten Benutzer-Ports. Pillow und Garage ergänzen Bildverarbeitung und privaten Speicher, ReportLab die PDF-Darstellung (RepairHub, 2026a).</w:t>
      </w:r>
    </w:p>
    <w:tbl>
      <w:tblPr>
        <w:tblW w:w="9071" w:type="dxa"/>
        <w:jc w:val="start"/>
        <w:tblInd w:w="0" w:type="dxa"/>
        <w:tblLayout w:type="fixed"/>
        <w:tblCellMar>
          <w:top w:w="70" w:type="dxa"/>
          <w:start w:w="90" w:type="dxa"/>
          <w:bottom w:w="70" w:type="dxa"/>
          <w:end w:w="90" w:type="dxa"/>
        </w:tblCellMar>
        <w:tblLook w:val="04a0" w:noHBand="0" w:noVBand="1" w:firstColumn="1" w:lastRow="0" w:lastColumn="0" w:firstRow="1"/>
      </w:tblPr>
      <w:tblGrid>
        <w:gridCol w:w="2267"/>
        <w:gridCol w:w="6803"/>
      </w:tblGrid>
      <w:tr>
        <w:trPr>
          <w:tblHeader w:val="true"/>
          <w:cantSplit w:val="true"/>
        </w:trPr>
        <w:tc>
          <w:tcPr>
            <w:tcW w:w="2267"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Technologie</w:t>
            </w:r>
          </w:p>
        </w:tc>
        <w:tc>
          <w:tcPr>
            <w:tcW w:w="6803"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Einsatzzweck und Begründung</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Python und Flask</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Umsetzung der HTTP-Endpunkte und der Anwendung. Flask unterstützt die modulare Gliederung von Routen und die Einbindung von Vorlagen (Pallets, o. J.).</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Jinja2, HTML und CSS</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Serverseitige Darstellung der Weboberfläche ohne zusätzliches Frontend-Framework. Jinja ist in Flask integriert (Pallets, o. J.).</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PostgreSQL</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Relationale Speicherung der verknüpften Fachdaten. NUMERIC ermöglicht die genaue Verarbeitung von Geldbeträgen (PostgreSQL Global Development Group, o. J.).</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SQLAlchemy</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Abbildung der Datenbanktabellen auf Python-Modelle und strukturierter Datenzugriff (SQLAlchemy, o. J.).</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Flask-Migrate</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Nachvollziehbare Verwaltung von Änderungen am Datenbankschema mit Alembic (Grinberg, o. J.).</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Flask-Security und Flask-Login</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Bibliotheksintegration für Registrierung, E-Mail-Verifikation, Passwort-Recovery und Sitzungen; Aufruf über injizierte Benutzer-Ports (RepairHub, 2026a).</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Flask-WTF</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Verarbeitung von Webformularen und Schutz vor gefälschten Formularanfragen durch CSRF-Schutz (Flask-WTF, o. J.).</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Gunicorn und Nginx</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Gunicorn führt die Flask-Anwendung aus; Nginx übernimmt den öffentlichen Zugang und leitet Anfragen an die Anwendung weiter (Pallets, o. J.; F5, o. J.).</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Docker Engine und Docker Compose</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Vier technische Produktionsdienste: nginx, app, db und garage. Gemeinsame Compose-Grundlage; Ansible gleicht Release-Digests, Konfiguration und Migrationen idempotent ab. Nur Releases veröffentlichen und deployen (RepairHub, 2026a).</w:t>
            </w:r>
          </w:p>
        </w:tc>
      </w:tr>
    </w:tbl>
    <w:p>
      <w:pPr>
        <w:pStyle w:val="Caption1"/>
        <w:keepNext w:val="true"/>
        <w:rPr/>
      </w:pPr>
      <w:bookmarkStart w:id="39" w:name="_Toc239708047"/>
      <w:r>
        <w:rPr/>
        <w:t xml:space="preserve">Tabelle </w:t>
      </w:r>
      <w:r>
        <w:rPr/>
        <w:fldChar w:fldCharType="begin"/>
      </w:r>
      <w:r>
        <w:rPr/>
        <w:instrText xml:space="preserve"> SEQ Tabelle \* ARABIC </w:instrText>
      </w:r>
      <w:r>
        <w:rPr/>
        <w:fldChar w:fldCharType="separate"/>
      </w:r>
      <w:r>
        <w:rPr/>
        <w:t>8</w:t>
      </w:r>
      <w:r>
        <w:rPr/>
        <w:fldChar w:fldCharType="end"/>
      </w:r>
      <w:r>
        <w:rPr/>
        <w:t xml:space="preserve"> Technologieauswahl und Begründung</w:t>
      </w:r>
      <w:bookmarkEnd w:id="39"/>
    </w:p>
    <w:p>
      <w:pPr>
        <w:pStyle w:val="TableSource"/>
        <w:rPr/>
      </w:pPr>
      <w:r>
        <w:rPr/>
        <w:t>Eigene Darstellung</w:t>
      </w:r>
      <w:r>
        <w:br w:type="page"/>
      </w:r>
    </w:p>
    <w:p>
      <w:pPr>
        <w:pStyle w:val="Heading2"/>
        <w:keepNext w:val="true"/>
        <w:ind w:start="0" w:hanging="0"/>
        <w:rPr/>
      </w:pPr>
      <w:bookmarkStart w:id="40" w:name="__RefHeading___Toc8989_803372697"/>
      <w:bookmarkStart w:id="41" w:name="_Toc239708005"/>
      <w:bookmarkEnd w:id="40"/>
      <w:r>
        <w:rPr/>
        <w:t>4.2 Datenmodell</w:t>
      </w:r>
      <w:bookmarkEnd w:id="41"/>
    </w:p>
    <w:p>
      <w:pPr>
        <w:pStyle w:val="Normal"/>
        <w:rPr/>
      </w:pPr>
      <w:r>
        <w:rPr/>
        <w:t>Das nachfolgende persistente Modell entspricht den implementierten Anwendungsfällen. Neben Benutzer, Gerät, Reparatur, Schritt und Ersatzteilposition umfasst es Bildmetadaten sowie technische Rollenverknüpfungen für Flask-Security. Diese technischen Tabellen schaffen keine Administratoroberfläche. Metadaten liegen in PostgreSQL, die Bildobjekte in Garage (RepairHub, 2026a).</w:t>
      </w:r>
    </w:p>
    <w:p>
      <w:pPr>
        <w:pStyle w:val="Normal"/>
        <w:keepNext w:val="true"/>
        <w:jc w:val="center"/>
        <w:rPr/>
      </w:pPr>
      <w:r>
        <w:rPr/>
        <w:drawing>
          <wp:inline distT="0" distB="0" distL="0" distR="0">
            <wp:extent cx="5579745" cy="5069205"/>
            <wp:effectExtent l="0" t="0" r="0" b="0"/>
            <wp:docPr id="5" name="Pict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descr="" title=""/>
                    <pic:cNvPicPr>
                      <a:picLocks noChangeAspect="1" noChangeArrowheads="1"/>
                    </pic:cNvPicPr>
                  </pic:nvPicPr>
                  <pic:blipFill>
                    <a:blip r:embed="rId7"/>
                    <a:stretch>
                      <a:fillRect/>
                    </a:stretch>
                  </pic:blipFill>
                  <pic:spPr bwMode="auto">
                    <a:xfrm>
                      <a:off x="0" y="0"/>
                      <a:ext cx="5579745" cy="5069205"/>
                    </a:xfrm>
                    <a:prstGeom prst="rect">
                      <a:avLst/>
                    </a:prstGeom>
                  </pic:spPr>
                </pic:pic>
              </a:graphicData>
            </a:graphic>
          </wp:inline>
        </w:drawing>
      </w:r>
    </w:p>
    <w:p>
      <w:pPr>
        <w:pStyle w:val="Caption1"/>
        <w:keepNext w:val="true"/>
        <w:rPr/>
      </w:pPr>
      <w:bookmarkStart w:id="42" w:name="_Toc239708035"/>
      <w:r>
        <w:rPr/>
        <w:t xml:space="preserve">Abbildung </w:t>
      </w:r>
      <w:r>
        <w:rPr/>
        <w:fldChar w:fldCharType="begin"/>
      </w:r>
      <w:r>
        <w:rPr/>
        <w:instrText xml:space="preserve"> SEQ Abbildung \* ARABIC </w:instrText>
      </w:r>
      <w:r>
        <w:rPr/>
        <w:fldChar w:fldCharType="separate"/>
      </w:r>
      <w:r>
        <w:rPr/>
        <w:t>5</w:t>
      </w:r>
      <w:r>
        <w:rPr/>
        <w:fldChar w:fldCharType="end"/>
      </w:r>
      <w:r>
        <w:rPr/>
        <w:t xml:space="preserve"> Relationales Datenmodell von RepairHub</w:t>
      </w:r>
      <w:bookmarkEnd w:id="42"/>
    </w:p>
    <w:p>
      <w:pPr>
        <w:pStyle w:val="TableSource"/>
        <w:rPr/>
      </w:pPr>
      <w:r>
        <w:rPr/>
        <w:t>Eigene Darstellung</w:t>
      </w:r>
      <w:r>
        <w:br w:type="page"/>
      </w:r>
    </w:p>
    <w:p>
      <w:pPr>
        <w:pStyle w:val="Normal"/>
        <w:rPr/>
      </w:pPr>
      <w:r>
        <w:rPr/>
        <w:t>Die Eigentümerschaft eines Reparaturfalls wird über das zugehörige Gerät bestimmt. Reparaturschritte und Ersatzteilpositionen übernehmen diese Zuordnung über ihren Reparaturfall. Eine zusätzliche Speicherung der Benutzer-ID in jeder Tabelle ist dadurch nicht erforderlich.</w:t>
      </w:r>
    </w:p>
    <w:p>
      <w:pPr>
        <w:pStyle w:val="Normal"/>
        <w:rPr/>
      </w:pPr>
      <w:r>
        <w:rPr/>
        <w:t>Ersatzteile werden zunächst als Positionen innerhalb eines Reparaturfalls gespeichert. Ein zentraler Ersatzteilkatalog mit Lagerbeständen ist nicht vorgesehen. Dadurch bleibt das Datenmodell auf die Reparaturverwaltung beschränkt.</w:t>
      </w:r>
    </w:p>
    <w:p>
      <w:pPr>
        <w:pStyle w:val="Normal"/>
        <w:rPr/>
      </w:pPr>
      <w:r>
        <w:rPr/>
        <w:t>Die geschätzten Gesamtkosten werden aus den gespeicherten Berechnungsgrundlagen ermittelt: Gesamtkosten = Arbeitszeit × Stundensatz + Summe aus Ersatzteilmenge × jeweiligem Einzelpreis. Der Gesamtbetrag wird nicht zusätzlich als unabhängig bearbeitbarer Wert gespeichert. Dadurch werden widersprüchliche Werte nach Änderungen an Arbeitszeit oder Ersatzteilen vermieden.</w:t>
      </w:r>
    </w:p>
    <w:p>
      <w:pPr>
        <w:pStyle w:val="Normal"/>
        <w:rPr/>
      </w:pPr>
      <w:r>
        <w:rPr/>
        <w:t>Geldbeträge und Arbeitszeit werden mit Decimal und PostgreSQL NUMERIC verarbeitet. Die Gesamtsumme wird aus den validierten Grundlagen abgeleitet und mit ROUND_HALF_UP auf zwei Nachkommastellen ausgegeben. Geldbeträge sind CHF; API-Dezimalwerte werden als Strings übertragen. Browser, API und PDF nutzen dieselbe serverseitige Berechnung (RepairHub, 2026a).</w:t>
      </w:r>
    </w:p>
    <w:p>
      <w:pPr>
        <w:pStyle w:val="Normal"/>
        <w:rPr/>
      </w:pPr>
      <w:r>
        <w:rPr/>
        <w:t>Fremdschlüssel, Pflichtfelder, Checks und eindeutige Indizes sichern persistente Regeln. Benutzername und E-Mail-Adresse sind unabhängig von Gross-/Kleinschreibung eindeutig. Arbeitszeit, Stundensatz und Einzelpreis sind nichtnegativ; Mengen sind positive ganze Zahlen. Die Zustände lauten open, in_progress und completed. Eigentum wird über Gerät und Fall abgeleitet. Der zentrale System-Leseschlüssel darf auf ausdrücklichen Benutzerauftrag alle Fälle lesen; persönliche Zugänge bleiben auf eigene Daten beschränkt.</w:t>
      </w:r>
    </w:p>
    <w:p>
      <w:pPr>
        <w:pStyle w:val="Heading2"/>
        <w:keepNext w:val="true"/>
        <w:ind w:start="0" w:hanging="0"/>
        <w:rPr/>
      </w:pPr>
      <w:bookmarkStart w:id="43" w:name="__RefHeading___Toc8991_803372697"/>
      <w:bookmarkStart w:id="44" w:name="_Toc239708006"/>
      <w:bookmarkEnd w:id="43"/>
      <w:r>
        <w:rPr/>
        <w:t>4.3 Ablaufdiagramme und Benutzeroberfläche</w:t>
      </w:r>
      <w:bookmarkEnd w:id="44"/>
    </w:p>
    <w:p>
      <w:pPr>
        <w:pStyle w:val="Normal"/>
        <w:rPr/>
      </w:pPr>
      <w:r>
        <w:rPr/>
        <w:t>Der typische Ablauf beginnt mit Registrierung und E-Mail-Bestätigung. Nach der Anmeldung öffnet der Benutzer seine Geräte oder Reparaturen über die Navigation. Ein neues Gerät benötigt Name, Hersteller und Modell; ein neuer Reparaturfall eine Fehlerbeschreibung. Die deutschsprachige Schritt-für-Schritt-Anleitung mit echten Playwright-Aufnahmen liegt unter docs/user-guide/README.md (RepairHub, 2026c).</w:t>
      </w:r>
    </w:p>
    <w:tbl>
      <w:tblPr>
        <w:tblW w:w="9071" w:type="dxa"/>
        <w:jc w:val="start"/>
        <w:tblInd w:w="0" w:type="dxa"/>
        <w:tblLayout w:type="fixed"/>
        <w:tblCellMar>
          <w:top w:w="70" w:type="dxa"/>
          <w:start w:w="90" w:type="dxa"/>
          <w:bottom w:w="70" w:type="dxa"/>
          <w:end w:w="90" w:type="dxa"/>
        </w:tblCellMar>
        <w:tblLook w:val="04a0" w:noHBand="0" w:noVBand="1" w:firstColumn="1" w:lastRow="0" w:lastColumn="0" w:firstRow="1"/>
      </w:tblPr>
      <w:tblGrid>
        <w:gridCol w:w="2550"/>
        <w:gridCol w:w="6520"/>
      </w:tblGrid>
      <w:tr>
        <w:trPr>
          <w:tblHeader w:val="true"/>
          <w:cantSplit w:val="true"/>
        </w:trPr>
        <w:tc>
          <w:tcPr>
            <w:tcW w:w="2550"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Ansicht</w:t>
            </w:r>
          </w:p>
        </w:tc>
        <w:tc>
          <w:tcPr>
            <w:tcW w:w="6520"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Inhalt und mögliche Aktionen</w:t>
            </w:r>
          </w:p>
        </w:tc>
      </w:tr>
      <w:tr>
        <w:trPr>
          <w:cantSplit w:val="true"/>
        </w:trPr>
        <w:tc>
          <w:tcPr>
            <w:tcW w:w="25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Registrierung und Anmeldung</w:t>
            </w:r>
          </w:p>
        </w:tc>
        <w:tc>
          <w:tcPr>
            <w:tcW w:w="652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Benutzerkonto erstellen und Zugang zur Anwendung erhalten.</w:t>
            </w:r>
          </w:p>
        </w:tc>
      </w:tr>
      <w:tr>
        <w:trPr>
          <w:cantSplit w:val="true"/>
        </w:trPr>
        <w:tc>
          <w:tcPr>
            <w:tcW w:w="25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Geräteübersicht</w:t>
            </w:r>
          </w:p>
        </w:tc>
        <w:tc>
          <w:tcPr>
            <w:tcW w:w="652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Eigene Geräte anzeigen und neue Geräte erfassen.</w:t>
            </w:r>
          </w:p>
        </w:tc>
      </w:tr>
      <w:tr>
        <w:trPr>
          <w:cantSplit w:val="true"/>
        </w:trPr>
        <w:tc>
          <w:tcPr>
            <w:tcW w:w="25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Geräteansicht</w:t>
            </w:r>
          </w:p>
        </w:tc>
        <w:tc>
          <w:tcPr>
            <w:tcW w:w="652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Gerätedaten bearbeiten und zugehörige Reparaturfälle anzeigen.</w:t>
            </w:r>
          </w:p>
        </w:tc>
      </w:tr>
      <w:tr>
        <w:trPr>
          <w:cantSplit w:val="true"/>
        </w:trPr>
        <w:tc>
          <w:tcPr>
            <w:tcW w:w="25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Reparaturübersicht</w:t>
            </w:r>
          </w:p>
        </w:tc>
        <w:tc>
          <w:tcPr>
            <w:tcW w:w="652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Eigene Reparaturfälle mit Gerät und aktuellem Status anzeigen.</w:t>
            </w:r>
          </w:p>
        </w:tc>
      </w:tr>
      <w:tr>
        <w:trPr>
          <w:cantSplit w:val="true"/>
        </w:trPr>
        <w:tc>
          <w:tcPr>
            <w:tcW w:w="255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Reparaturdetailansicht</w:t>
            </w:r>
          </w:p>
        </w:tc>
        <w:tc>
          <w:tcPr>
            <w:tcW w:w="6520"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Fehlerbild, Reparaturschritte, Ersatzteile, Arbeitswerte und Status bearbeiten sowie Kosten anzeigen.</w:t>
            </w:r>
          </w:p>
        </w:tc>
      </w:tr>
    </w:tbl>
    <w:p>
      <w:pPr>
        <w:pStyle w:val="Caption1"/>
        <w:keepNext w:val="true"/>
        <w:rPr/>
      </w:pPr>
      <w:bookmarkStart w:id="45" w:name="_Toc239708048"/>
      <w:r>
        <w:rPr/>
        <w:t xml:space="preserve">Tabelle </w:t>
      </w:r>
      <w:r>
        <w:rPr/>
        <w:fldChar w:fldCharType="begin"/>
      </w:r>
      <w:r>
        <w:rPr/>
        <w:instrText xml:space="preserve"> SEQ Tabelle \* ARABIC </w:instrText>
      </w:r>
      <w:r>
        <w:rPr/>
        <w:fldChar w:fldCharType="separate"/>
      </w:r>
      <w:r>
        <w:rPr/>
        <w:t>9</w:t>
      </w:r>
      <w:r>
        <w:rPr/>
        <w:fldChar w:fldCharType="end"/>
      </w:r>
      <w:r>
        <w:rPr/>
        <w:t xml:space="preserve"> Ansichten der Benutzeroberfläche</w:t>
      </w:r>
      <w:bookmarkEnd w:id="45"/>
    </w:p>
    <w:p>
      <w:pPr>
        <w:pStyle w:val="TableSource"/>
        <w:rPr/>
      </w:pPr>
      <w:r>
        <w:rPr/>
        <w:t>Eigene Darstellung</w:t>
      </w:r>
    </w:p>
    <w:p>
      <w:pPr>
        <w:pStyle w:val="Normal"/>
        <w:rPr/>
      </w:pPr>
      <w:r>
        <w:rPr/>
        <w:t>Neue Reparaturfälle erhalten den Status «Offen». Für die weitere Bearbeitung stehen «In Bearbeitung» und «Abgeschlossen» zur Verfügung. Ein abgeschlossener Fall kann zur erneuten Bearbeitung wieder auf «In Bearbeitung» gesetzt werden. Weitere Einschränkungen der Statuswechsel sind zunächst nicht vorgesehen.</w:t>
      </w:r>
      <w:r>
        <w:br w:type="page"/>
      </w:r>
    </w:p>
    <w:p>
      <w:pPr>
        <w:pStyle w:val="Normal"/>
        <w:rPr/>
      </w:pPr>
      <w:r>
        <w:rPr/>
        <w:t>Das Aktivitätsdiagramm zeigt die Bearbeitung einschliesslich Fehlerpfaden. Anmeldung und Eigentümerschaft werden vor der Anzeige und erneut beim Speichern geprüft. Ungültige Eingaben führen zur Korrektur zurück. Gültige Änderungen werden innerhalb einer Transaktion gespeichert; bei einem Speicherfehler werden sie zurückgerollt. Kostenrelevante Änderungen lösen eine zentrale Neuberechnung aus.</w:t>
      </w:r>
    </w:p>
    <w:p>
      <w:pPr>
        <w:pStyle w:val="Normal"/>
        <w:keepNext w:val="true"/>
        <w:jc w:val="center"/>
        <w:rPr/>
      </w:pPr>
      <w:r>
        <w:rPr/>
        <w:drawing>
          <wp:inline distT="0" distB="0" distL="0" distR="0">
            <wp:extent cx="2284730" cy="6120130"/>
            <wp:effectExtent l="0" t="0" r="0" b="0"/>
            <wp:docPr id="6"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 title=""/>
                    <pic:cNvPicPr>
                      <a:picLocks noChangeAspect="1" noChangeArrowheads="1"/>
                    </pic:cNvPicPr>
                  </pic:nvPicPr>
                  <pic:blipFill>
                    <a:blip r:embed="rId8"/>
                    <a:stretch>
                      <a:fillRect/>
                    </a:stretch>
                  </pic:blipFill>
                  <pic:spPr bwMode="auto">
                    <a:xfrm>
                      <a:off x="0" y="0"/>
                      <a:ext cx="2284730" cy="6120130"/>
                    </a:xfrm>
                    <a:prstGeom prst="rect">
                      <a:avLst/>
                    </a:prstGeom>
                  </pic:spPr>
                </pic:pic>
              </a:graphicData>
            </a:graphic>
          </wp:inline>
        </w:drawing>
      </w:r>
    </w:p>
    <w:p>
      <w:pPr>
        <w:pStyle w:val="Caption1"/>
        <w:keepNext w:val="true"/>
        <w:rPr/>
      </w:pPr>
      <w:bookmarkStart w:id="46" w:name="_Toc239708036"/>
      <w:r>
        <w:rPr/>
        <w:t xml:space="preserve">Abbildung </w:t>
      </w:r>
      <w:r>
        <w:rPr/>
        <w:fldChar w:fldCharType="begin"/>
      </w:r>
      <w:r>
        <w:rPr/>
        <w:instrText xml:space="preserve"> SEQ Abbildung \* ARABIC </w:instrText>
      </w:r>
      <w:r>
        <w:rPr/>
        <w:fldChar w:fldCharType="separate"/>
      </w:r>
      <w:r>
        <w:rPr/>
        <w:t>6</w:t>
      </w:r>
      <w:r>
        <w:rPr/>
        <w:fldChar w:fldCharType="end"/>
      </w:r>
      <w:r>
        <w:rPr/>
        <w:t xml:space="preserve"> Aktivitätsdiagramm zur Reparaturbearbeitung</w:t>
      </w:r>
      <w:bookmarkEnd w:id="46"/>
    </w:p>
    <w:p>
      <w:pPr>
        <w:pStyle w:val="TableSource"/>
        <w:rPr/>
      </w:pPr>
      <w:r>
        <w:rPr/>
        <w:t>Eigene Darstellung</w:t>
      </w:r>
      <w:r>
        <w:br w:type="page"/>
      </w:r>
    </w:p>
    <w:p>
      <w:pPr>
        <w:pStyle w:val="Heading2"/>
        <w:keepNext w:val="true"/>
        <w:ind w:start="0" w:hanging="0"/>
        <w:rPr/>
      </w:pPr>
      <w:bookmarkStart w:id="47" w:name="__RefHeading___Toc8993_803372697"/>
      <w:bookmarkStart w:id="48" w:name="_Toc239708007"/>
      <w:bookmarkEnd w:id="47"/>
      <w:r>
        <w:rPr/>
        <w:t>4.4 Bereitstellungsarchitektur und Sicherheit</w:t>
      </w:r>
      <w:bookmarkEnd w:id="48"/>
    </w:p>
    <w:p>
      <w:pPr>
        <w:pStyle w:val="Normal"/>
        <w:rPr/>
      </w:pPr>
      <w:r>
        <w:rPr/>
        <w:t>RepairHub wird mit Docker Compose auf einem Debian-12-Host bereitgestellt. Vier getrennte technische Dienste übernehmen Nginx, Gunicorn/Flask, PostgreSQL und Garage. App, Datenbank und S3 bleiben privat; Nginx veröffentlicht HTTPS und den HTTP-Zugang für Weiterleitung und ACME. GitHub Actions liefert freigegebene Releases über Ansible aus. Der Zielhost baut das App-Image nicht erneut (RepairHub, 2026a).</w:t>
      </w:r>
    </w:p>
    <w:p>
      <w:pPr>
        <w:pStyle w:val="Normal"/>
        <w:rPr/>
      </w:pPr>
      <w:r>
        <w:rPr/>
        <w:t>Nginx nimmt HTTPS-Anfragen über den veröffentlichten Port 443 entgegen. Innerhalb des Docker-Netzwerks erreicht Nginx die Anwendung über app:8000 und die Anwendung PostgreSQL über db:5432. Für Anwendung und Datenbank werden keine Host-Ports veröffentlicht. Die Dienstnamen ermöglichen die Kommunikation unabhängig von wechselnden Container-IP-Adressen (Docker Inc., o. J. a).</w:t>
      </w:r>
    </w:p>
    <w:p>
      <w:pPr>
        <w:pStyle w:val="Normal"/>
        <w:keepNext w:val="true"/>
        <w:jc w:val="center"/>
        <w:rPr/>
      </w:pPr>
      <w:r>
        <w:rPr/>
        <w:drawing>
          <wp:inline distT="0" distB="0" distL="0" distR="0">
            <wp:extent cx="5579745" cy="4408805"/>
            <wp:effectExtent l="0" t="0" r="0" b="0"/>
            <wp:docPr id="7"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descr="" title=""/>
                    <pic:cNvPicPr>
                      <a:picLocks noChangeAspect="1" noChangeArrowheads="1"/>
                    </pic:cNvPicPr>
                  </pic:nvPicPr>
                  <pic:blipFill>
                    <a:blip r:embed="rId9"/>
                    <a:stretch>
                      <a:fillRect/>
                    </a:stretch>
                  </pic:blipFill>
                  <pic:spPr bwMode="auto">
                    <a:xfrm>
                      <a:off x="0" y="0"/>
                      <a:ext cx="5579745" cy="4408805"/>
                    </a:xfrm>
                    <a:prstGeom prst="rect">
                      <a:avLst/>
                    </a:prstGeom>
                  </pic:spPr>
                </pic:pic>
              </a:graphicData>
            </a:graphic>
          </wp:inline>
        </w:drawing>
      </w:r>
    </w:p>
    <w:p>
      <w:pPr>
        <w:pStyle w:val="Caption1"/>
        <w:keepNext w:val="true"/>
        <w:rPr/>
      </w:pPr>
      <w:bookmarkStart w:id="49" w:name="_Toc239708037"/>
      <w:r>
        <w:rPr/>
        <w:t xml:space="preserve">Abbildung </w:t>
      </w:r>
      <w:r>
        <w:rPr/>
        <w:fldChar w:fldCharType="begin"/>
      </w:r>
      <w:r>
        <w:rPr/>
        <w:instrText xml:space="preserve"> SEQ Abbildung \* ARABIC </w:instrText>
      </w:r>
      <w:r>
        <w:rPr/>
        <w:fldChar w:fldCharType="separate"/>
      </w:r>
      <w:r>
        <w:rPr/>
        <w:t>7</w:t>
      </w:r>
      <w:r>
        <w:rPr/>
        <w:fldChar w:fldCharType="end"/>
      </w:r>
      <w:r>
        <w:rPr/>
        <w:t xml:space="preserve"> Bereitstellung von RepairHub mit Docker Compose</w:t>
      </w:r>
      <w:bookmarkEnd w:id="49"/>
    </w:p>
    <w:p>
      <w:pPr>
        <w:pStyle w:val="TableSource"/>
        <w:rPr/>
      </w:pPr>
      <w:r>
        <w:rPr/>
        <w:t>Eigene Darstellung</w:t>
      </w:r>
      <w:r>
        <w:br w:type="page"/>
      </w:r>
    </w:p>
    <w:p>
      <w:pPr>
        <w:pStyle w:val="Normal"/>
        <w:rPr/>
      </w:pPr>
      <w:r>
        <w:rPr/>
        <w:t>Entwicklung und Produktion verwenden dieselbe compose.yaml als Grundlage, dieselben festgelegten Softwareversionen und denselben Aufbau der Dienste. Ergänzende Dateien compose.development.yaml und compose.production.yaml enthalten nur die jeweiligen Abweichungen. Lokal kann der Quellcode für schnelle Änderungen eingebunden werden. Vor der Bereitstellung wird das gebaute Anwendungs-Image getestet und unverändert in der Produktion eingesetzt. Dort werden keine Quellcode-Verzeichnisse eingebunden; Debug-Modus und automatisches Neuladen sind deaktiviert (Docker Inc., o. J. b).</w:t>
      </w:r>
    </w:p>
    <w:p>
      <w:pPr>
        <w:pStyle w:val="Normal"/>
        <w:rPr/>
      </w:pPr>
      <w:r>
        <w:rPr/>
        <w:t>Umgebungsspezifische Werte wie Domain, TLS-Zertifikate und Zugangsdaten werden getrennt vom Anwendungs-Image bereitgestellt. Geheimnisse werden ausserhalb des Repositorys verwaltet. Die gemeinsame Grundlage hält die Entwicklungsumgebung nahe am produktiven Betrieb; produktionsspezifische Einstellungen werden zusätzlich vor der Freigabe geprüft.</w:t>
      </w:r>
    </w:p>
    <w:p>
      <w:pPr>
        <w:pStyle w:val="Normal"/>
        <w:rPr/>
      </w:pPr>
      <w:r>
        <w:rPr/>
        <w:t>Die PostgreSQL-Daten liegen in einem benannten Volume und bleiben beim Ersetzen eines Containers erhalten. Das Volume ersetzt keine Sicherung: Datenbanksicherungen werden ausserhalb des Hosting-Servers aufbewahrt und die Wiederherstellung wird geprüft. Bei einem Serverwechsel werden neben der Compose-Konfiguration und den Images auch Daten, Geheimnisse und Zertifikate übernommen (Docker Inc., o. J. c).</w:t>
      </w:r>
    </w:p>
    <w:p>
      <w:pPr>
        <w:pStyle w:val="Normal"/>
        <w:rPr/>
      </w:pPr>
      <w:r>
        <w:rPr/>
        <w:t>Docker Compose vereinfacht die wiederholbare Bereitstellung und den Wechsel auf einen geeigneten Server. Der einzelne Host bleibt jedoch ein zentraler Ausfallpunkt. Neustartrichtlinien, Erreichbarkeitskontrollen und geprüfte Sicherungen unterstützen den Betrieb; eine redundante Infrastruktur ist für die erste Version nicht vorgesehen.</w:t>
      </w:r>
      <w:r>
        <w:br w:type="page"/>
      </w:r>
    </w:p>
    <w:p>
      <w:pPr>
        <w:pStyle w:val="Normal"/>
        <w:rPr/>
      </w:pPr>
      <w:r>
        <w:rPr/>
        <w:t>Die Weboberfläche verwendet bestätigte Browsersitzungen und CSRF-geschützte Formulare. Ein Benutzer generiert einen persönlichen API-Schlüssel im Frontend. Der Klartext erscheint einmal; gespeichert werden Hash und Identitätsbindung. Der API-Client sendet Authorization: Bearer &lt;api-key&gt;. Es existiert kein POST /api/auth/token. Persönliche Schlüssel bleiben bis zu Widerruf oder Entzug der Identitätsgültigkeit nutzbar. API_SMOKE_KEY ist ein gesonderter systemweiter Leseschlüssel ohne Browser-Administratorrolle (RepairHub, 2026a).</w:t>
      </w:r>
    </w:p>
    <w:p>
      <w:pPr>
        <w:pStyle w:val="Normal"/>
        <w:rPr/>
      </w:pPr>
      <w:r>
        <w:rPr/>
        <w:t>Die erste API-Sequenz zeigt die einmalige Erzeugung des persönlichen Schlüssels. Danach erfolgen Datenabrufe ohne Browsercookies und ohne erneute Passwortübergabe. Ersetzen oder Widerrufen macht den alten Schlüssel unmittelbar ungültig.</w:t>
      </w:r>
    </w:p>
    <w:p>
      <w:pPr>
        <w:pStyle w:val="Normal"/>
        <w:keepNext w:val="true"/>
        <w:jc w:val="center"/>
        <w:rPr/>
      </w:pPr>
      <w:r>
        <w:rPr/>
        <w:drawing>
          <wp:inline distT="0" distB="0" distL="0" distR="0">
            <wp:extent cx="5579745" cy="3193415"/>
            <wp:effectExtent l="0" t="0" r="0" b="0"/>
            <wp:docPr id="8"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 title=""/>
                    <pic:cNvPicPr>
                      <a:picLocks noChangeAspect="1" noChangeArrowheads="1"/>
                    </pic:cNvPicPr>
                  </pic:nvPicPr>
                  <pic:blipFill>
                    <a:blip r:embed="rId10"/>
                    <a:stretch>
                      <a:fillRect/>
                    </a:stretch>
                  </pic:blipFill>
                  <pic:spPr bwMode="auto">
                    <a:xfrm>
                      <a:off x="0" y="0"/>
                      <a:ext cx="5579745" cy="3193415"/>
                    </a:xfrm>
                    <a:prstGeom prst="rect">
                      <a:avLst/>
                    </a:prstGeom>
                  </pic:spPr>
                </pic:pic>
              </a:graphicData>
            </a:graphic>
          </wp:inline>
        </w:drawing>
      </w:r>
    </w:p>
    <w:p>
      <w:pPr>
        <w:pStyle w:val="Caption1"/>
        <w:keepNext w:val="true"/>
        <w:rPr/>
      </w:pPr>
      <w:bookmarkStart w:id="50" w:name="_Toc239708038"/>
      <w:r>
        <w:rPr/>
        <w:t xml:space="preserve">Abbildung </w:t>
      </w:r>
      <w:r>
        <w:rPr/>
        <w:fldChar w:fldCharType="begin"/>
      </w:r>
      <w:r>
        <w:rPr/>
        <w:instrText xml:space="preserve"> SEQ Abbildung \* ARABIC </w:instrText>
      </w:r>
      <w:r>
        <w:rPr/>
        <w:fldChar w:fldCharType="separate"/>
      </w:r>
      <w:r>
        <w:rPr/>
        <w:t>8</w:t>
      </w:r>
      <w:r>
        <w:rPr/>
        <w:fldChar w:fldCharType="end"/>
      </w:r>
      <w:r>
        <w:rPr/>
        <w:t xml:space="preserve"> Persönlichen API-Schlüssel erzeugen</w:t>
      </w:r>
      <w:bookmarkEnd w:id="50"/>
    </w:p>
    <w:p>
      <w:pPr>
        <w:pStyle w:val="TableSource"/>
        <w:rPr/>
      </w:pPr>
      <w:r>
        <w:rPr/>
        <w:t>Eigene Darstellung</w:t>
      </w:r>
      <w:r>
        <w:br w:type="page"/>
      </w:r>
    </w:p>
    <w:p>
      <w:pPr>
        <w:pStyle w:val="Normal"/>
        <w:rPr/>
      </w:pPr>
      <w:r>
        <w:rPr/>
        <w:t>Die zweite Sequenz zeigt den Detailabruf. Der Key-Adapter ermittelt eine persönliche oder eine explizite System-Leseberechtigung. Persönliche Abfragen werden nach Eigentümer gefiltert; unbekannte und fremde Fälle liefern gleichartig 404. Die Fallauskunft berechnet die aktuellen Kosten über costs. Die API selbst greift weder auf ORM-Modelle noch direkt auf die Kostenkomponente zu.</w:t>
      </w:r>
    </w:p>
    <w:p>
      <w:pPr>
        <w:pStyle w:val="Normal"/>
        <w:keepNext w:val="true"/>
        <w:jc w:val="center"/>
        <w:rPr/>
      </w:pPr>
      <w:r>
        <w:rPr/>
        <w:drawing>
          <wp:inline distT="0" distB="0" distL="0" distR="0">
            <wp:extent cx="5579745" cy="3703955"/>
            <wp:effectExtent l="0" t="0" r="0" b="0"/>
            <wp:docPr id="9"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descr="" title=""/>
                    <pic:cNvPicPr>
                      <a:picLocks noChangeAspect="1" noChangeArrowheads="1"/>
                    </pic:cNvPicPr>
                  </pic:nvPicPr>
                  <pic:blipFill>
                    <a:blip r:embed="rId11"/>
                    <a:stretch>
                      <a:fillRect/>
                    </a:stretch>
                  </pic:blipFill>
                  <pic:spPr bwMode="auto">
                    <a:xfrm>
                      <a:off x="0" y="0"/>
                      <a:ext cx="5579745" cy="3703955"/>
                    </a:xfrm>
                    <a:prstGeom prst="rect">
                      <a:avLst/>
                    </a:prstGeom>
                  </pic:spPr>
                </pic:pic>
              </a:graphicData>
            </a:graphic>
          </wp:inline>
        </w:drawing>
      </w:r>
    </w:p>
    <w:p>
      <w:pPr>
        <w:pStyle w:val="Caption1"/>
        <w:keepNext w:val="true"/>
        <w:rPr/>
      </w:pPr>
      <w:bookmarkStart w:id="51" w:name="_Toc239708039"/>
      <w:r>
        <w:rPr/>
        <w:t xml:space="preserve">Abbildung </w:t>
      </w:r>
      <w:r>
        <w:rPr/>
        <w:fldChar w:fldCharType="begin"/>
      </w:r>
      <w:r>
        <w:rPr/>
        <w:instrText xml:space="preserve"> SEQ Abbildung \* ARABIC </w:instrText>
      </w:r>
      <w:r>
        <w:rPr/>
        <w:fldChar w:fldCharType="separate"/>
      </w:r>
      <w:r>
        <w:rPr/>
        <w:t>9</w:t>
      </w:r>
      <w:r>
        <w:rPr/>
        <w:fldChar w:fldCharType="end"/>
      </w:r>
      <w:r>
        <w:rPr/>
        <w:t xml:space="preserve"> API-Sequenz zum geschützten Datenabruf</w:t>
      </w:r>
      <w:bookmarkEnd w:id="51"/>
    </w:p>
    <w:p>
      <w:pPr>
        <w:pStyle w:val="TableSource"/>
        <w:rPr/>
      </w:pPr>
      <w:r>
        <w:rPr/>
        <w:t>Eigene Darstellung</w:t>
      </w:r>
      <w:r>
        <w:br w:type="page"/>
      </w:r>
    </w:p>
    <w:p>
      <w:pPr>
        <w:pStyle w:val="Normal"/>
        <w:rPr/>
      </w:pPr>
      <w:r>
        <w:rPr/>
        <w:t>Die folgenden Massnahmen sind umgesetzt und in T12 geprüft. Die begrenzten PostgreSQL-gosu-Ausnahmen bleiben bis zum dokumentierten Ablauf ausdrücklich ausgewiesen. Eine tatsächliche Datenbankwiederherstellung wurde für die Praxisarbeit auf Benutzerentscheid nicht ausgeführt; das Verfahren ist dokumentiert. Die vierwöchige Betriebsfrist bleibt bis zu ihrem realen Ablauf offen (RepairHub, 2026b).</w:t>
      </w:r>
    </w:p>
    <w:tbl>
      <w:tblPr>
        <w:tblW w:w="9071" w:type="dxa"/>
        <w:jc w:val="start"/>
        <w:tblInd w:w="0" w:type="dxa"/>
        <w:tblLayout w:type="fixed"/>
        <w:tblCellMar>
          <w:top w:w="70" w:type="dxa"/>
          <w:start w:w="90" w:type="dxa"/>
          <w:bottom w:w="70" w:type="dxa"/>
          <w:end w:w="90" w:type="dxa"/>
        </w:tblCellMar>
        <w:tblLook w:val="04a0" w:noHBand="0" w:noVBand="1" w:firstColumn="1" w:lastRow="0" w:lastColumn="0" w:firstRow="1"/>
      </w:tblPr>
      <w:tblGrid>
        <w:gridCol w:w="2267"/>
        <w:gridCol w:w="6803"/>
      </w:tblGrid>
      <w:tr>
        <w:trPr>
          <w:tblHeader w:val="true"/>
          <w:cantSplit w:val="true"/>
        </w:trPr>
        <w:tc>
          <w:tcPr>
            <w:tcW w:w="2267"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Sicherheitsbereich</w:t>
            </w:r>
          </w:p>
        </w:tc>
        <w:tc>
          <w:tcPr>
            <w:tcW w:w="6803" w:type="dxa"/>
            <w:tcBorders>
              <w:top w:val="single" w:sz="4" w:space="0" w:color="D9D9D9"/>
              <w:start w:val="single" w:sz="4" w:space="0" w:color="D9D9D9"/>
              <w:bottom w:val="single" w:sz="4" w:space="0" w:color="D9D9D9"/>
              <w:end w:val="single" w:sz="4" w:space="0" w:color="D9D9D9"/>
            </w:tcBorders>
            <w:shd w:color="auto" w:fill="E7E6E6" w:val="clear"/>
            <w:vAlign w:val="center"/>
          </w:tcPr>
          <w:p>
            <w:pPr>
              <w:pStyle w:val="Normal"/>
              <w:keepNext w:val="true"/>
              <w:widowControl w:val="false"/>
              <w:jc w:val="start"/>
              <w:rPr/>
            </w:pPr>
            <w:r>
              <w:rPr>
                <w:b/>
                <w:sz w:val="20"/>
              </w:rPr>
              <w:t>Vorgesehene Massnahme</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Passwörter</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Speicherung als gesalzene Hashwerte mit einem etablierten Passwort-Hashverfahren.</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Übertragung</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HTTPS für Weboberfläche und API; keine Verarbeitung von Anmeldungen über unverschlüsseltes HTTP.</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Webformulare</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Serverseitige Validierung und CSRF-Schutz.</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Sitzungen</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Cookies mit Secure, HttpOnly und geeignetem SameSite-Attribut; Beendigung der Sitzung bei Abmeldung.</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API-Zugriff</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Persönliche API-Keys: Hash und Identitätsbindung; nur Authorization: Bearer. Separater System-Leseschlüssel mit globalem Zugriff. Keine schreibende Reparatur-API.</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Konfiguration</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Geheimnisse ausserhalb von Repository und Images bereitstellen; umgebungsspezifische Konfiguration getrennt verwalten.</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Fehlerbehandlung</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Debug-Modus im Betrieb deaktivieren und technische Fehler ohne Geheimnisse protokollieren.</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Datenbank</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Eingeschränktes Anwendungskonto; Zugriff über das Docker-Netzwerk ohne veröffentlichten Host-Port.</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keepNext w:val="true"/>
              <w:widowControl w:val="false"/>
              <w:jc w:val="start"/>
              <w:rPr/>
            </w:pPr>
            <w:r>
              <w:rPr>
                <w:sz w:val="20"/>
              </w:rPr>
              <w:t>Wiederherstellung</w:t>
            </w:r>
          </w:p>
        </w:tc>
        <w:tc>
          <w:tcPr>
            <w:tcW w:w="6803" w:type="dxa"/>
            <w:tcBorders>
              <w:top w:val="single" w:sz="4" w:space="0" w:color="D9D9D9"/>
              <w:start w:val="single" w:sz="4" w:space="0" w:color="D9D9D9"/>
              <w:bottom w:val="single" w:sz="4" w:space="0" w:color="D9D9D9"/>
              <w:end w:val="single" w:sz="4" w:space="0" w:color="D9D9D9"/>
            </w:tcBorders>
            <w:shd w:color="auto" w:fill="FFFFFF" w:val="clear"/>
            <w:vAlign w:val="center"/>
          </w:tcPr>
          <w:p>
            <w:pPr>
              <w:pStyle w:val="Normal"/>
              <w:widowControl w:val="false"/>
              <w:jc w:val="start"/>
              <w:rPr/>
            </w:pPr>
            <w:r>
              <w:rPr>
                <w:sz w:val="20"/>
              </w:rPr>
              <w:t>Benannte Volumes; verschlüsselte zusammengehörige DB-/Garage-Backups ausserhalb des Hosts. Restore-Anleitung vorhanden, tatsächliche Wiederherstellung ausdrücklich nicht ausgeführt.</w:t>
            </w:r>
          </w:p>
        </w:tc>
      </w:tr>
    </w:tbl>
    <w:p>
      <w:pPr>
        <w:pStyle w:val="Caption1"/>
        <w:keepNext w:val="true"/>
        <w:rPr/>
      </w:pPr>
      <w:bookmarkStart w:id="52" w:name="_Toc239708049"/>
      <w:r>
        <w:rPr/>
        <w:t xml:space="preserve">Tabelle </w:t>
      </w:r>
      <w:r>
        <w:rPr/>
        <w:fldChar w:fldCharType="begin"/>
      </w:r>
      <w:r>
        <w:rPr/>
        <w:instrText xml:space="preserve"> SEQ Tabelle \* ARABIC </w:instrText>
      </w:r>
      <w:r>
        <w:rPr/>
        <w:fldChar w:fldCharType="separate"/>
      </w:r>
      <w:r>
        <w:rPr/>
        <w:t>10</w:t>
      </w:r>
      <w:r>
        <w:rPr/>
        <w:fldChar w:fldCharType="end"/>
      </w:r>
      <w:r>
        <w:rPr/>
        <w:t xml:space="preserve"> Sicherheitsmassnahmen für RepairHub</w:t>
      </w:r>
      <w:bookmarkEnd w:id="52"/>
    </w:p>
    <w:p>
      <w:pPr>
        <w:pStyle w:val="TableSource"/>
        <w:rPr/>
      </w:pPr>
      <w:r>
        <w:rPr/>
        <w:t>Eigene Darstellung</w:t>
      </w:r>
      <w:r>
        <w:br w:type="page"/>
      </w:r>
    </w:p>
    <w:p>
      <w:pPr>
        <w:pStyle w:val="Heading1"/>
        <w:rPr/>
      </w:pPr>
      <w:bookmarkStart w:id="53" w:name="__RefHeading___Toc8995_803372697"/>
      <w:bookmarkStart w:id="54" w:name="_Toc239708008"/>
      <w:bookmarkEnd w:id="53"/>
      <w:r>
        <w:rPr/>
        <w:t>5 Umsetzung und Bereitstellung</w:t>
      </w:r>
      <w:bookmarkEnd w:id="54"/>
    </w:p>
    <w:p>
      <w:pPr>
        <w:pStyle w:val="Normal"/>
        <w:rPr/>
      </w:pPr>
      <w:r>
        <w:rPr/>
        <w:t>Die technische Umsetzung ist anhand des Repository-Stands und der T12-Abnahme dokumentiert. Die folgenden Abschnitte führen Quellstruktur, Schnittstellen und die für die Prüfung nötigen Zugangsangaben zusammen.</w:t>
      </w:r>
    </w:p>
    <w:p>
      <w:pPr>
        <w:pStyle w:val="Heading2"/>
        <w:rPr/>
      </w:pPr>
      <w:bookmarkStart w:id="55" w:name="__RefHeading___Toc8997_803372697"/>
      <w:bookmarkStart w:id="56" w:name="_Toc239708009"/>
      <w:bookmarkEnd w:id="55"/>
      <w:r>
        <w:rPr/>
        <w:t>5.1 Projektstruktur und zentrale Implementierung</w:t>
      </w:r>
      <w:bookmarkEnd w:id="56"/>
    </w:p>
    <w:p>
      <w:pPr>
        <w:pStyle w:val="Normal"/>
        <w:rPr/>
      </w:pPr>
      <w:r>
        <w:rPr/>
        <w:t>app.domains enthält die fünf frameworkfreien Fachdomänen mit Slice-Handlern, Ports und DTOs. app.data implementiert Persistenz- und Dateiadapter; app.adapters.users kapselt Flask-Security und API-Keys. app.web und app.api übersetzen HTTP in Anwendungsfallaufrufe. app.bootstrap verdrahtet diese Komponenten. scripts/check_architecture.py und positive/negative Architekturtests sichern die Importgrenzen.</w:t>
      </w:r>
    </w:p>
    <w:p>
      <w:pPr>
        <w:pStyle w:val="Normal"/>
        <w:rPr/>
      </w:pPr>
      <w:r>
        <w:rPr/>
        <w:t>Das Frontend verwendet lokal versioniertes Bootstrap und Humble Objects: DOM-freie Presenter koordinieren Verhalten, kleine Views bedienen DOM und Fetch. Geräte- und Reparaturlisten starten mit 20 serverseitigen Zeilen und halten mit JavaScript höchstens 60 Zeilen. Suchanfragen reagieren nach 300 ms Eingabepause; Statusfilter sofort. Ohne JavaScript bleiben HTML-Formulare und Seitenlinks nutzbar.</w:t>
      </w:r>
    </w:p>
    <w:p>
      <w:pPr>
        <w:pStyle w:val="Heading2"/>
        <w:rPr/>
      </w:pPr>
      <w:bookmarkStart w:id="57" w:name="__RefHeading___Toc8999_803372697"/>
      <w:bookmarkStart w:id="58" w:name="_Toc239708010"/>
      <w:bookmarkEnd w:id="57"/>
      <w:r>
        <w:rPr/>
        <w:t>5.2 Geschäftslogik und REST API</w:t>
      </w:r>
      <w:bookmarkEnd w:id="58"/>
    </w:p>
    <w:p>
      <w:pPr>
        <w:pStyle w:val="Normal"/>
        <w:rPr/>
      </w:pPr>
      <w:r>
        <w:rPr/>
        <w:t>Eigentumsprüfung, Eingabegrenzen und Transaktionen werden in den jeweiligen Anwendungsfällen und Adaptern gemeinsam für Web und API verwendet. Reparaturen und Teile rufen dieselbe reine Decimal-Kostenberechnung auf. 2 Stunden zu CHF 80 plus 3 Teile zu CHF 15 ergeben CHF 205.00. Der Gesamtbetrag wird nicht unabhängig gespeichert.</w:t>
      </w:r>
    </w:p>
    <w:p>
      <w:pPr>
        <w:pStyle w:val="Normal"/>
        <w:rPr/>
      </w:pPr>
      <w:r>
        <w:rPr/>
        <w:t>Die API bietet GET /api/repairs und GET /api/repairs/{id}. Jeder Aufruf benötigt Authorization: Bearer &lt;api-key&gt;. Liste und Detail sind lesend. Persönliche Schlüssel beschränken sich auf eigene Fälle; API_SMOKE_KEY ist der ausdrücklich vereinbarte systemweite Lesezugang. Eine Anmeldung über Benutzername und Passwort an einem Token-Endpunkt entfällt.</w:t>
      </w:r>
    </w:p>
    <w:p>
      <w:pPr>
        <w:pStyle w:val="Heading2"/>
        <w:rPr/>
      </w:pPr>
      <w:bookmarkStart w:id="59" w:name="__RefHeading___Toc9001_803372697"/>
      <w:bookmarkStart w:id="60" w:name="_Toc239708011"/>
      <w:bookmarkEnd w:id="59"/>
      <w:r>
        <w:rPr/>
        <w:t>5.3 Bereitstellung, Prüfzugänge und Repository</w:t>
      </w:r>
      <w:bookmarkEnd w:id="60"/>
    </w:p>
    <w:p>
      <w:pPr>
        <w:pStyle w:val="Normal"/>
        <w:rPr/>
      </w:pPr>
      <w:r>
        <w:rPr/>
        <w:t>Öffentlicher Zugang: https://lab19.ifalabs.org, HTTPS-Port 443. HTTP-Port 80 dient Weiterleitung und Zertifikatsvalidierung; App, PostgreSQL und Garage besitzen keine öffentlichen Ports. Repository: https://github.com/GojicDragan/RepairHub; am 22. September 2026 öffentlich lesbar, daher keine Repository-Zugangsdaten nötig.</w:t>
      </w:r>
    </w:p>
    <w:p>
      <w:pPr>
        <w:pStyle w:val="Normal"/>
        <w:rPr/>
      </w:pPr>
      <w:r>
        <w:rPr/>
        <w:t>Der bestätigte Produktionsnachweis aus T12 bezieht sich auf Release v0.9, Commit 4b59e03022a3c669136ebd4499b096fcad3efcdb. Die vollständig qualifizierten Image-Digests stehen in docs/validation/t12.json. Start-, Migrations- und Testbefehle stehen im README, Auslieferung und Secrets-Namen in docs/ci-cd.md.</w:t>
      </w:r>
    </w:p>
    <w:p>
      <w:pPr>
        <w:pStyle w:val="Normal"/>
        <w:rPr/>
      </w:pPr>
      <w:r>
        <w:rPr/>
        <w:t>[Prüfzugang offen: Der Verfasser legt fest, ob der Examinator selbst registriert oder ein bestätigtes Testkonto über einen separaten geschützten Kanal erhält. Keine Passwörter oder API-Schlüssel in dieses Dokument, Repository oder ZIP aufnehmen.]</w:t>
      </w:r>
    </w:p>
    <w:p>
      <w:pPr>
        <w:pStyle w:val="Heading2"/>
        <w:rPr/>
      </w:pPr>
      <w:bookmarkStart w:id="61" w:name="__RefHeading___Toc9003_803372697"/>
      <w:bookmarkStart w:id="62" w:name="_Toc239708012"/>
      <w:bookmarkEnd w:id="61"/>
      <w:r>
        <w:rPr/>
        <w:t>5.4 Betrieb während der Korrekturphase</w:t>
      </w:r>
      <w:bookmarkEnd w:id="62"/>
    </w:p>
    <w:p>
      <w:pPr>
        <w:pStyle w:val="Normal"/>
        <w:rPr/>
      </w:pPr>
      <w:r>
        <w:rPr/>
        <w:t>Die Anwendung muss ab tatsächlichem Abgabetermin mindestens 28 Tage erreichbar bleiben. Der Termin und die verbindliche Betriebsverantwortung sind noch zu bestätigen; deshalb wird die Frist nicht als erfüllt ausgewiesen. docs/submission/README.md enthält das Übergabeblatt, docs/operations.md die Kontrollen und Ausfallbehandlung.</w:t>
      </w:r>
    </w:p>
    <w:p>
      <w:pPr>
        <w:pStyle w:val="Normal"/>
        <w:rPr/>
      </w:pPr>
      <w:r>
        <w:rPr/>
        <w:t>Der Betreiber prüft HTTPS-Bereitschaft, Release-Status, Zertifikat und Backups. Bei Ausfall werden Beginn, Ursache, Massnahme und Wiederverfügbarkeit protokolliert. Wiederanlauf erfolgt über die vorhandenen Compose-/Ansible-Wege ohne Löschen persistenter Volumes. Ein Image-Rollback ist keine Datenbankwiederherstellung.</w:t>
      </w:r>
    </w:p>
    <w:p>
      <w:pPr>
        <w:pStyle w:val="Normal"/>
        <w:rPr/>
      </w:pPr>
      <w:r>
        <w:rPr/>
      </w:r>
      <w:r>
        <w:br w:type="page"/>
      </w:r>
    </w:p>
    <w:p>
      <w:pPr>
        <w:pStyle w:val="Heading1"/>
        <w:rPr/>
      </w:pPr>
      <w:bookmarkStart w:id="63" w:name="__RefHeading___Toc9005_803372697"/>
      <w:bookmarkStart w:id="64" w:name="_Toc239708013"/>
      <w:bookmarkEnd w:id="63"/>
      <w:r>
        <w:rPr/>
        <w:t>6 Tests</w:t>
      </w:r>
      <w:bookmarkEnd w:id="64"/>
    </w:p>
    <w:p>
      <w:pPr>
        <w:pStyle w:val="Normal"/>
        <w:rPr/>
      </w:pPr>
      <w:r>
        <w:rPr/>
        <w:t>Die Gesamtabnahme verbindet fachliche Unit-Tests, PostgreSQL-Integration, Browserabläufe, Sicherheitsprüfungen und isolierte Deployment-Tests. Ergebnisse beziehen sich auf den angegebenen Quellstand; nicht ausgeführte Prüfungen sind ausdrücklich getrennt.</w:t>
      </w:r>
    </w:p>
    <w:p>
      <w:pPr>
        <w:pStyle w:val="Heading2"/>
        <w:rPr/>
      </w:pPr>
      <w:bookmarkStart w:id="65" w:name="__RefHeading___Toc9007_803372697"/>
      <w:bookmarkStart w:id="66" w:name="_Toc239708014"/>
      <w:bookmarkEnd w:id="65"/>
      <w:r>
        <w:rPr/>
        <w:t>6.1 Testvorgehen</w:t>
      </w:r>
      <w:bookmarkEnd w:id="66"/>
    </w:p>
    <w:p>
      <w:pPr>
        <w:pStyle w:val="Normal"/>
        <w:rPr/>
      </w:pPr>
      <w:r>
        <w:rPr/>
        <w:t>T12 prüfte Commit 4b59e03022a3c669136ebd4499b096fcad3efcdb am 22. September 2026: 710 Python-Unit-, 326 PostgreSQL-Integrations-, 65 Chromium-E2E- und 62 JavaScript-Tests bestanden, zusammen 1’163. Architektur, Linting, frische Migration, Build, HTTPS/API-Smoke und die Security-Stufe bestanden innerhalb der dokumentierten Ausnahmen (RepairHub, 2026b).</w:t>
      </w:r>
    </w:p>
    <w:p>
      <w:pPr>
        <w:pStyle w:val="Normal"/>
        <w:rPr/>
      </w:pPr>
      <w:r>
        <w:rPr/>
        <w:t>Der aktive ZAP-Scan lief nur gegen eine isolierte Testinstanz. Ansible-Erstlauf, Wiederholung ohne Änderungen, Konfigurationsupdate, kontrollierter Fehler mit kompatiblem App-Rollback und anschliessende Wiederholung wurden geprüft. Eine Neuerstellung des isolierten Datenbankcontainers erhielt vorhandene Daten.</w:t>
      </w:r>
    </w:p>
    <w:p>
      <w:pPr>
        <w:pStyle w:val="Heading2"/>
        <w:rPr/>
      </w:pPr>
      <w:bookmarkStart w:id="67" w:name="__RefHeading___Toc9009_803372697"/>
      <w:bookmarkStart w:id="68" w:name="_Toc239708015"/>
      <w:bookmarkEnd w:id="67"/>
      <w:r>
        <w:rPr/>
        <w:t>6.2 Testprotokoll mit 6–12 Testfällen</w:t>
      </w:r>
      <w:bookmarkEnd w:id="68"/>
    </w:p>
    <w:p>
      <w:pPr>
        <w:pStyle w:val="Normal"/>
        <w:rPr/>
      </w:pPr>
      <w:r>
        <w:rPr/>
        <w:t>Die zwölf ausgewählten Fälle fassen die zentralen Anforderungen zusammen. Das ausführliche Protokoll mit Voraussetzungen, Schritten und Nachweisdateien befindet sich unter docs/acceptance-test-protocol.md. Die Tabelle enthält keine zusätzliche Behauptung einer manuellen Durchführung.</w:t>
      </w:r>
    </w:p>
    <w:tbl>
      <w:tblPr>
        <w:tblStyle w:val="Tabellenraster"/>
        <w:tblW w:w="907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66"/>
        <w:gridCol w:w="1701"/>
        <w:gridCol w:w="3119"/>
        <w:gridCol w:w="3684"/>
      </w:tblGrid>
      <w:tr>
        <w:trPr>
          <w:tblHeader w:val="true"/>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Fall</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Schwerpunkt</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Soll</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Ist</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A01</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Registrierung / Verifikation / Reset</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Nur bestätigte gültige Identität erhält Zugang.</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Bestanden; SMTP- und negative Identitätsfälle geprüft.</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A02</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Anmeldung / Sitzung / Abmeldung</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Ungültige Zugänge gesperrt, Abmeldung beendet Zugriff.</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Bestanden; CSRF und manipulierte Sitzungen geprüft.</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A03</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Geräte / Eigentum / Listen</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Eigene Daten dauerhaft; kein Fremdzugriff; begrenztes DOM.</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Bestanden; zwei Konten und virtuelle Fenster geprüft.</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A04</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Reparatur / Schritte / Status</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Gültige Änderungen und Wiederaufnahme, keine leeren Texte.</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Bestanden; Positiv- und Negativpfade geprüft.</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A05</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Teile / Kosten</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CHF 205.00, 160.00 und 0.30; ungültige Zahlen abweisen.</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Bestanden; zentrale Decimal-Regel und Grenzen geprüft.</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A06</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Persönliche / System-API</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Keys ermöglichen genau den vereinbarten Leseumfang.</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Bestanden; Ersetzen/Widerruf und Systemzugang geprüft.</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A07</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API-Fehler</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401/404/405 ohne Datenpreisgabe oder Änderung.</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Bestanden; Eigentums- und Methodengrenzen geprüft.</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A08</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Migration / Transaktion / Persistenz</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Leere DB migriert; Fehler atomar; Daten bleiben erhalten.</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Bestanden; PostgreSQL und Container-Neuerstellung geprüft.</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A09</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Browser / Sprache / HTTPS</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Durchgängiger Ablauf, DE/EN, verständliche Fehler.</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Bestanden; Chromium, mobil, mit/ohne JS; Produktion TLS.</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A10</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Backup / Restore-Verfahren</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Backup und nachvollziehbarer Wiederherstellungsweg.</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Dokumentiert; tatsächlicher DB-/Gesamtrestore nicht ausgeführt.</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A11</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CI / Security / Deployment</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Prüfungen sperren Fehler; identische Releases idempotent.</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Bestanden innerhalb der 22 befristeten gosu-Ausnahmen.</w:t>
            </w:r>
          </w:p>
        </w:tc>
      </w:tr>
      <w:tr>
        <w:trPr>
          <w:cantSplit w:val="true"/>
        </w:trPr>
        <w:tc>
          <w:tcPr>
            <w:tcW w:w="566"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A12</w:t>
            </w:r>
          </w:p>
        </w:tc>
        <w:tc>
          <w:tcPr>
            <w:tcW w:w="1701"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Optionale Funktionen</w:t>
            </w:r>
          </w:p>
        </w:tc>
        <w:tc>
          <w:tcPr>
            <w:tcW w:w="3119"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Suche, Übersicht, Bilder und PDF zeigen eigene korrekte Daten.</w:t>
            </w:r>
          </w:p>
        </w:tc>
        <w:tc>
          <w:tcPr>
            <w:tcW w:w="368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Bestanden; Bildgrenzen, Eigentum und CHF-PDF geprüft.</w:t>
            </w:r>
          </w:p>
        </w:tc>
      </w:tr>
    </w:tbl>
    <w:p>
      <w:pPr>
        <w:pStyle w:val="Caption1"/>
        <w:rPr/>
      </w:pPr>
      <w:r>
        <w:rPr/>
        <w:t xml:space="preserve">Tabelle </w:t>
      </w:r>
      <w:r>
        <w:rPr/>
        <w:fldChar w:fldCharType="begin"/>
      </w:r>
      <w:r>
        <w:rPr/>
        <w:instrText xml:space="preserve"> SEQ Tabelle \* ARABIC </w:instrText>
      </w:r>
      <w:r>
        <w:rPr/>
        <w:fldChar w:fldCharType="separate"/>
      </w:r>
      <w:r>
        <w:rPr/>
        <w:t>11</w:t>
      </w:r>
      <w:r>
        <w:rPr/>
        <w:fldChar w:fldCharType="end"/>
      </w:r>
      <w:r>
        <w:rPr/>
        <w:t xml:space="preserve"> Ausgewählte Abnahmetests</w:t>
      </w:r>
    </w:p>
    <w:p>
      <w:pPr>
        <w:pStyle w:val="Normal"/>
        <w:rPr/>
      </w:pPr>
      <w:r>
        <w:rPr/>
        <w:t>Eigene Zusammenstellung aus T12 (RepairHub, 2026b).</w:t>
      </w:r>
    </w:p>
    <w:p>
      <w:pPr>
        <w:pStyle w:val="Heading2"/>
        <w:rPr/>
      </w:pPr>
      <w:bookmarkStart w:id="69" w:name="__RefHeading___Toc9011_803372697"/>
      <w:bookmarkStart w:id="70" w:name="_Toc239708016"/>
      <w:bookmarkEnd w:id="69"/>
      <w:r>
        <w:rPr/>
        <w:t>6.3 Ergebnisse und offene Einschränkungen</w:t>
      </w:r>
      <w:bookmarkEnd w:id="70"/>
    </w:p>
    <w:p>
      <w:pPr>
        <w:pStyle w:val="Normal"/>
        <w:rPr/>
      </w:pPr>
      <w:r>
        <w:rPr/>
        <w:t>Die T12-Gesamtabnahme ist im vereinbarten Umfang bestanden. 22 einzeln befristete gosu-Befunde im PostgreSQL-Image bleiben ausdrücklich akzeptierte Ausnahmen; keine allgemeine Sicherheitsfreigabe. Garage besitzt eine zusätzliche konservative Prüfung seines Rust-Runtime-Abhängigkeitsgraphen. Fünf ZAP-Informationsgruppen waren nicht blockierend.</w:t>
      </w:r>
    </w:p>
    <w:p>
      <w:pPr>
        <w:pStyle w:val="Normal"/>
        <w:rPr/>
      </w:pPr>
      <w:r>
        <w:rPr/>
        <w:t>Nicht belegt sind ein tatsächlicher Datenbank-/Gesamtrestore, der erst nach Abgabe laufende vierwöchige Betrieb sowie die erneute produktive Mailzustellung. Der produktive API-Nachweis traf eine leere Liste; positive Detaildaten wurden isoliert geprüft. Beim Erstellen eines Falls per AJAX erscheint der Bildbereich erst nach erneutem Öffnen der Detailseite; dieser Bedienungshinweis ist in der Anleitung festgehalten.</w:t>
      </w:r>
    </w:p>
    <w:p>
      <w:pPr>
        <w:pStyle w:val="Heading1"/>
        <w:rPr/>
      </w:pPr>
      <w:bookmarkStart w:id="71" w:name="__RefHeading___Toc9013_803372697"/>
      <w:bookmarkStart w:id="72" w:name="_Toc239708017"/>
      <w:bookmarkEnd w:id="71"/>
      <w:r>
        <w:rPr/>
        <w:t>7 Bedienungsanleitung</w:t>
      </w:r>
      <w:bookmarkEnd w:id="72"/>
    </w:p>
    <w:p>
      <w:pPr>
        <w:pStyle w:val="Normal"/>
        <w:rPr/>
      </w:pPr>
      <w:r>
        <w:rPr/>
        <w:t>Die Bedienung wurde mit Playwright gegen eine isolierte Instanz des geprüften Produktionsimages nachvollzogen. Die vollständige bebilderte Anleitung liegt unter docs/user-guide/README.md und gehört zum Quellcode-ZIP. Die folgenden Abschnitte geben den Einstieg und die browserunabhängigen API-Aufrufe an.</w:t>
      </w:r>
    </w:p>
    <w:p>
      <w:pPr>
        <w:pStyle w:val="Heading2"/>
        <w:rPr/>
      </w:pPr>
      <w:bookmarkStart w:id="73" w:name="__RefHeading___Toc9015_803372697"/>
      <w:bookmarkStart w:id="74" w:name="_Toc239708018"/>
      <w:bookmarkEnd w:id="73"/>
      <w:r>
        <w:rPr/>
        <w:t>7.1 Bedienung der Webanwendung</w:t>
      </w:r>
      <w:bookmarkEnd w:id="74"/>
    </w:p>
    <w:p>
      <w:pPr>
        <w:pStyle w:val="Normal"/>
        <w:rPr/>
      </w:pPr>
      <w:r>
        <w:rPr/>
        <w:t>Konto erstellen, Bestätigungsmail öffnen und Adresse bestätigen; danach mit E-Mail oder Benutzername anmelden. Unter Deine Geräte ein Gerät mit Name, Hersteller und Modell speichern. Im Gerät einen neuen Reparaturfall mit Fehlerbeschreibung anlegen. Anschliessend Schritte, Status, Arbeitswerte und Ersatzteilpositionen jeweils über ihre eigenen Speicherbuttons nachführen.</w:t>
      </w:r>
    </w:p>
    <w:p>
      <w:pPr>
        <w:pStyle w:val="Normal"/>
        <w:rPr/>
      </w:pPr>
      <w:r>
        <w:rPr/>
        <w:t>Suchfelder reagieren nach kurzer Eingabepause. Statusfilter wirken sofort; lange Geräte- und Falllisten laden beim Scrollen weitere Fenster. Bilddateien in JPEG/PNG/WebP bis 10 MiB und 20 Megapixel werden privat als Mosaik angezeigt und können aus der Galerie entfernt werden. Der PDF-Link lädt den vollständigen Fall samt CHF-Kostenschätzung herunter. Bei vergessenem Passwort wird ein zeitlich begrenzter Reset-Link per E-Mail angefordert.</w:t>
      </w:r>
    </w:p>
    <w:p>
      <w:pPr>
        <w:pStyle w:val="Normal"/>
        <w:rPr/>
      </w:pPr>
      <w:r>
        <w:rPr/>
        <w:t>docs/user-guide/README.md zeigt für sämtliche Benutzerfunktionen die Eingaben, Aktionen und Ergebnisse. Die Demobilder und Demodaten gehören zu einer wegwerfbaren Testinstanz; Passwortfelder und API-Schlüssel sind in den Aufnahmen verdeckt.</w:t>
      </w:r>
    </w:p>
    <w:p>
      <w:pPr>
        <w:pStyle w:val="Heading2"/>
        <w:rPr/>
      </w:pPr>
      <w:bookmarkStart w:id="75" w:name="__RefHeading___Toc9017_803372697"/>
      <w:bookmarkStart w:id="76" w:name="_Toc239708019"/>
      <w:bookmarkEnd w:id="75"/>
      <w:r>
        <w:rPr/>
        <w:t>7.2 API Authentifizierung und Endpunkte</w:t>
      </w:r>
      <w:bookmarkEnd w:id="76"/>
    </w:p>
    <w:p>
      <w:pPr>
        <w:pStyle w:val="Normal"/>
        <w:rPr/>
      </w:pPr>
      <w:r>
        <w:rPr/>
        <w:t>Im Frontend unter API-Zugriff einen persönlichen API-Schlüssel generieren und sofort geschützt kopieren. Im API-Client den Header Authorization: Bearer &lt;api-key&gt; setzen. Es werden weder Browsercookies noch Benutzername/Passwort mitgeschickt.</w:t>
      </w:r>
    </w:p>
    <w:p>
      <w:pPr>
        <w:pStyle w:val="Normal"/>
        <w:rPr/>
      </w:pPr>
      <w:r>
        <w:rPr/>
        <w:t>GET https://lab19.ifalabs.org/api/repairs?limit=20&amp;offset=0 liefert items, total, snapshot und next_offset. Für Folgeseiten next_offset und denselben snapshot verwenden; limit liegt zwischen 1 und 60. GET https://lab19.ifalabs.org/api/repairs/{id} liefert einen eigenen vollständigen Fall mit Schritten, Teilen und Kosten. {id} durch eine ID der Listenantwort ersetzen.</w:t>
      </w:r>
    </w:p>
    <w:p>
      <w:pPr>
        <w:pStyle w:val="Normal"/>
        <w:rPr/>
      </w:pPr>
      <w:r>
        <w:rPr/>
        <w:t>401 bedeutet fehlenden/ungültigen Key, 404 unbekannten/fremden Fall, 405 nicht erlaubte Schreibmethode und 400 ungültige Parameter. Geldbeträge sind Dezimalstrings in CHF. Vollständige Beispielantworten und ausführbare Curl-Aufrufe: docs/api.md.</w:t>
      </w:r>
    </w:p>
    <w:p>
      <w:pPr>
        <w:pStyle w:val="Heading1"/>
        <w:rPr/>
      </w:pPr>
      <w:bookmarkStart w:id="77" w:name="__RefHeading___Toc9019_803372697"/>
      <w:bookmarkStart w:id="78" w:name="_Toc239708020"/>
      <w:bookmarkEnd w:id="77"/>
      <w:r>
        <w:rPr/>
        <w:t>8 Projektabschluss und Reflexion</w:t>
      </w:r>
      <w:bookmarkEnd w:id="78"/>
    </w:p>
    <w:p>
      <w:pPr>
        <w:pStyle w:val="Normal"/>
        <w:rPr/>
      </w:pPr>
      <w:r>
        <w:rPr/>
        <w:t>Die folgenden Angaben trennen belegte Zielerfüllung von noch erforderlicher persönlicher Würdigung. Testergebnisse ersetzen weder die Reflexion des Verfassers noch den tatsächlichen Betrieb während der Korrekturphase.</w:t>
      </w:r>
    </w:p>
    <w:p>
      <w:pPr>
        <w:pStyle w:val="Heading2"/>
        <w:rPr/>
      </w:pPr>
      <w:bookmarkStart w:id="79" w:name="__RefHeading___Toc9021_803372697"/>
      <w:bookmarkStart w:id="80" w:name="_Toc239708021"/>
      <w:bookmarkEnd w:id="79"/>
      <w:r>
        <w:rPr/>
        <w:t>8.1 Erreichung der Muss- und Kann-Ziele</w:t>
      </w:r>
      <w:bookmarkEnd w:id="80"/>
    </w:p>
    <w:p>
      <w:pPr>
        <w:pStyle w:val="Normal"/>
        <w:rPr/>
      </w:pPr>
      <w:r>
        <w:rPr/>
        <w:t>M01–M07 sowie K01–K04 sind in T12 funktional abgenommen; zusätzlich wurden Passwort-Recovery, Gerätesuche und persönliche API-Key-Verwaltung umgesetzt. Die Abhängigkeitsumkehr und vertikalen Fachdomänen präzisieren den älteren Schichtenentwurf. Ein realer DB-Restore wurde ausdrücklich aus der Ausführung ausgenommen. Die Betriebsfrist ist noch offen.</w:t>
      </w:r>
    </w:p>
    <w:p>
      <w:pPr>
        <w:pStyle w:val="Heading2"/>
        <w:rPr/>
      </w:pPr>
      <w:bookmarkStart w:id="81" w:name="__RefHeading___Toc9023_803372697"/>
      <w:bookmarkStart w:id="82" w:name="_Toc239708022"/>
      <w:bookmarkEnd w:id="81"/>
      <w:r>
        <w:rPr/>
        <w:t>8.2 Projektverlauf und kritische Würdigung der Lösung</w:t>
      </w:r>
      <w:bookmarkEnd w:id="82"/>
    </w:p>
    <w:p>
      <w:pPr>
        <w:pStyle w:val="Normal"/>
        <w:rPr/>
      </w:pPr>
      <w:r>
        <w:rPr/>
        <w:t>[Persönliche Würdigung durch den Verfasser ergänzen. Belegbare Themen: Nutzen und Aufwand der Slice-Ports; gemeinsames Deployment eines modularen Monolithen; Einzelhost als Ausfallpunkt; zusätzliche Garage-/Backup-Komplexität; Grenze zwischen bestandenen Tests und nicht durchgeführtem Restore. Keine erfundenen Arbeitsstunden oder persönlichen Erfahrungen eintragen.]</w:t>
      </w:r>
    </w:p>
    <w:p>
      <w:pPr>
        <w:pStyle w:val="Heading2"/>
        <w:rPr/>
      </w:pPr>
      <w:bookmarkStart w:id="83" w:name="__RefHeading___Toc9025_803372697"/>
      <w:bookmarkStart w:id="84" w:name="_Toc239708023"/>
      <w:bookmarkEnd w:id="83"/>
      <w:r>
        <w:rPr/>
        <w:t>8.3 Persönliche Reflexion und Ausblick</w:t>
      </w:r>
      <w:bookmarkEnd w:id="84"/>
    </w:p>
    <w:p>
      <w:pPr>
        <w:pStyle w:val="Normal"/>
        <w:rPr/>
      </w:pPr>
      <w:r>
        <w:rPr/>
        <w:t>[Vom Verfasser in eigenen Worten ergänzen: wichtigste Lernerfahrung, konkrete Schwierigkeiten und deren Lösung, Abweichungen vom Zeitplan, verbleibende Risiken und begründete nächste Schritte.]</w:t>
      </w:r>
    </w:p>
    <w:p>
      <w:pPr>
        <w:pStyle w:val="Heading1"/>
        <w:rPr/>
      </w:pPr>
      <w:bookmarkStart w:id="85" w:name="__RefHeading___Toc9027_803372697"/>
      <w:bookmarkStart w:id="86" w:name="_Toc239708024"/>
      <w:bookmarkEnd w:id="85"/>
      <w:r>
        <w:rPr/>
        <w:t>9 Abkürzungsverzeichnis</w:t>
      </w:r>
      <w:bookmarkEnd w:id="86"/>
    </w:p>
    <w:p>
      <w:pPr>
        <w:pStyle w:val="Normal"/>
        <w:rPr/>
      </w:pPr>
      <w:r>
        <w:rPr/>
        <w:t>API – Application Programming Interface; CI/CD – Continuous Integration/Continuous Delivery; CSRF – Cross-Site Request Forgery; DAST – Dynamic Application Security Testing; DTO – Data Transfer Object; ERD – Entity Relationship Diagram; ORM – Object-Relational Mapping; SAST – Static Application Security Testing; SMTP – Simple Mail Transfer Protocol; TLS – Transport Layer Security; UTC – Coordinated Universal Time.</w:t>
      </w:r>
    </w:p>
    <w:p>
      <w:pPr>
        <w:pStyle w:val="Heading1"/>
        <w:rPr/>
      </w:pPr>
      <w:bookmarkStart w:id="87" w:name="__RefHeading___Toc9029_803372697"/>
      <w:bookmarkStart w:id="88" w:name="_Toc239708025"/>
      <w:bookmarkEnd w:id="87"/>
      <w:r>
        <w:rPr/>
        <w:t>10 Glossar</w:t>
      </w:r>
      <w:bookmarkEnd w:id="88"/>
    </w:p>
    <w:p>
      <w:pPr>
        <w:pStyle w:val="Normal"/>
        <w:rPr/>
      </w:pPr>
      <w:r>
        <w:rPr/>
        <w:t>Adapter: technische Implementierung eines vom Anwendungsfall definierten Ports. Port: frameworkfreier Vertrag für benötigte externe Fähigkeiten. Vertikaler Slice: vollständiger fachlicher Anwendungsfall mit eigenen Eingaben, Ablauf und Schnittstellen. Humble Object: kleine technische DOM-Anbindung; Verhalten bleibt unabhängig testbar. Image-Digest: unveränderliche Inhaltskennung eines Containerimages. Idempotenz: erneuter Abgleich gleicher Eingaben erzeugt keine unnötigen Änderungen.</w:t>
      </w:r>
    </w:p>
    <w:p>
      <w:pPr>
        <w:pStyle w:val="Heading1"/>
        <w:rPr/>
      </w:pPr>
      <w:bookmarkStart w:id="89" w:name="__RefHeading___Toc9031_803372697"/>
      <w:bookmarkStart w:id="90" w:name="_Toc239708026"/>
      <w:bookmarkEnd w:id="89"/>
      <w:r>
        <w:rPr/>
        <w:t>11 Abbildungsverzeichnis</w:t>
      </w:r>
      <w:bookmarkEnd w:id="90"/>
    </w:p>
    <w:p>
      <w:pPr>
        <w:pStyle w:val="FigureIndex1"/>
        <w:rPr/>
      </w:pPr>
      <w:r>
        <w:fldChar w:fldCharType="begin"/>
      </w:r>
      <w:r>
        <w:rPr>
          <w:rStyle w:val="IndexLink"/>
        </w:rPr>
        <w:instrText xml:space="preserve"> TOC \c "Abbildung" </w:instrText>
      </w:r>
      <w:r>
        <w:rPr>
          <w:rStyle w:val="IndexLink"/>
        </w:rPr>
        <w:fldChar w:fldCharType="separate"/>
      </w:r>
      <w:hyperlink w:anchor="_Toc239708031">
        <w:r>
          <w:rPr>
            <w:rStyle w:val="IndexLink"/>
          </w:rPr>
          <w:t>Abbildung 1 Use-Case-Übersicht zu Rollen und Bereichen</w:t>
          <w:tab/>
          <w:t>11</w:t>
        </w:r>
      </w:hyperlink>
    </w:p>
    <w:p>
      <w:pPr>
        <w:pStyle w:val="FigureIndex1"/>
        <w:rPr/>
      </w:pPr>
      <w:hyperlink w:anchor="_Toc239708032">
        <w:r>
          <w:rPr>
            <w:rStyle w:val="IndexLink"/>
          </w:rPr>
          <w:t>Abbildung 2 Use-Case-Details zu Reparaturbearbeitung und Kosten</w:t>
          <w:tab/>
          <w:t>12</w:t>
        </w:r>
      </w:hyperlink>
    </w:p>
    <w:p>
      <w:pPr>
        <w:pStyle w:val="FigureIndex1"/>
        <w:rPr/>
      </w:pPr>
      <w:hyperlink w:anchor="_Toc239708033">
        <w:r>
          <w:rPr>
            <w:rStyle w:val="IndexLink"/>
          </w:rPr>
          <w:t>Abbildung 3 Verantwortlichkeiten und Abhängigkeitsumkehr</w:t>
          <w:tab/>
          <w:t>14</w:t>
        </w:r>
      </w:hyperlink>
    </w:p>
    <w:p>
      <w:pPr>
        <w:pStyle w:val="FigureIndex1"/>
        <w:rPr/>
      </w:pPr>
      <w:hyperlink w:anchor="_Toc239708034">
        <w:r>
          <w:rPr>
            <w:rStyle w:val="IndexLink"/>
          </w:rPr>
          <w:t>Abbildung 4 Komponenten und Abhängigkeiten von RepairHub</w:t>
          <w:tab/>
          <w:t>15</w:t>
        </w:r>
      </w:hyperlink>
    </w:p>
    <w:p>
      <w:pPr>
        <w:pStyle w:val="FigureIndex1"/>
        <w:rPr/>
      </w:pPr>
      <w:hyperlink w:anchor="_Toc239708035">
        <w:r>
          <w:rPr>
            <w:rStyle w:val="IndexLink"/>
          </w:rPr>
          <w:t>Abbildung 5 Relationales Datenmodell von RepairHub</w:t>
          <w:tab/>
          <w:t>17</w:t>
        </w:r>
      </w:hyperlink>
    </w:p>
    <w:p>
      <w:pPr>
        <w:pStyle w:val="FigureIndex1"/>
        <w:rPr/>
      </w:pPr>
      <w:hyperlink w:anchor="_Toc239708036">
        <w:r>
          <w:rPr>
            <w:rStyle w:val="IndexLink"/>
          </w:rPr>
          <w:t>Abbildung 6 Aktivitätsdiagramm zur Reparaturbearbeitung</w:t>
          <w:tab/>
          <w:t>19</w:t>
        </w:r>
      </w:hyperlink>
    </w:p>
    <w:p>
      <w:pPr>
        <w:pStyle w:val="FigureIndex1"/>
        <w:rPr/>
      </w:pPr>
      <w:hyperlink w:anchor="_Toc239708037">
        <w:r>
          <w:rPr>
            <w:rStyle w:val="IndexLink"/>
          </w:rPr>
          <w:t>Abbildung 7 Bereitstellung von RepairHub mit Docker Compose</w:t>
          <w:tab/>
          <w:t>20</w:t>
        </w:r>
      </w:hyperlink>
    </w:p>
    <w:p>
      <w:pPr>
        <w:pStyle w:val="FigureIndex1"/>
        <w:rPr/>
      </w:pPr>
      <w:hyperlink w:anchor="_Toc239708038">
        <w:r>
          <w:rPr>
            <w:rStyle w:val="IndexLink"/>
          </w:rPr>
          <w:t>Abbildung 8 Persönlichen API-Schlüssel erzeugen</w:t>
          <w:tab/>
          <w:t>22</w:t>
        </w:r>
      </w:hyperlink>
    </w:p>
    <w:p>
      <w:pPr>
        <w:pStyle w:val="FigureIndex1"/>
        <w:rPr/>
      </w:pPr>
      <w:hyperlink w:anchor="_Toc239708039">
        <w:r>
          <w:rPr>
            <w:rStyle w:val="IndexLink"/>
          </w:rPr>
          <w:t>Abbildung 9 API-Sequenz zum geschützten Datenabruf</w:t>
          <w:tab/>
          <w:t>23</w:t>
        </w:r>
      </w:hyperlink>
      <w:r>
        <w:rPr>
          <w:rStyle w:val="IndexLink"/>
        </w:rPr>
        <w:fldChar w:fldCharType="end"/>
      </w:r>
    </w:p>
    <w:p>
      <w:pPr>
        <w:pStyle w:val="Normal"/>
        <w:rPr/>
      </w:pPr>
      <w:r>
        <w:rPr/>
      </w:r>
    </w:p>
    <w:p>
      <w:pPr>
        <w:pStyle w:val="Heading1"/>
        <w:rPr/>
      </w:pPr>
      <w:bookmarkStart w:id="91" w:name="__RefHeading___Toc9033_803372697"/>
      <w:bookmarkStart w:id="92" w:name="_Toc239708027"/>
      <w:bookmarkEnd w:id="91"/>
      <w:r>
        <w:rPr/>
        <w:t>12 Tabellenverzeichnis</w:t>
      </w:r>
      <w:bookmarkEnd w:id="92"/>
    </w:p>
    <w:p>
      <w:pPr>
        <w:pStyle w:val="FigureIndex1"/>
        <w:rPr/>
      </w:pPr>
      <w:r>
        <w:fldChar w:fldCharType="begin"/>
      </w:r>
      <w:r>
        <w:rPr>
          <w:rStyle w:val="IndexLink"/>
        </w:rPr>
        <w:instrText xml:space="preserve"> TOC \c "Tabelle" </w:instrText>
      </w:r>
      <w:r>
        <w:rPr>
          <w:rStyle w:val="IndexLink"/>
        </w:rPr>
        <w:fldChar w:fldCharType="separate"/>
      </w:r>
      <w:hyperlink w:anchor="_Toc239708040">
        <w:r>
          <w:rPr>
            <w:rStyle w:val="IndexLink"/>
          </w:rPr>
          <w:t>Tabelle 1 Muss-Ziele von RepairHub</w:t>
          <w:tab/>
          <w:t>3</w:t>
        </w:r>
      </w:hyperlink>
    </w:p>
    <w:p>
      <w:pPr>
        <w:pStyle w:val="FigureIndex1"/>
        <w:rPr/>
      </w:pPr>
      <w:hyperlink w:anchor="_Toc239708041">
        <w:r>
          <w:rPr>
            <w:rStyle w:val="IndexLink"/>
          </w:rPr>
          <w:t>Tabelle 2 Kann-Ziele von RepairHub</w:t>
          <w:tab/>
          <w:t>3</w:t>
        </w:r>
      </w:hyperlink>
    </w:p>
    <w:p>
      <w:pPr>
        <w:pStyle w:val="FigureIndex1"/>
        <w:rPr/>
      </w:pPr>
      <w:hyperlink w:anchor="_Toc239708042">
        <w:r>
          <w:rPr>
            <w:rStyle w:val="IndexLink"/>
          </w:rPr>
          <w:t>Tabelle 3 Aufwandsplanung</w:t>
          <w:tab/>
          <w:t>4</w:t>
        </w:r>
      </w:hyperlink>
    </w:p>
    <w:p>
      <w:pPr>
        <w:pStyle w:val="FigureIndex1"/>
        <w:rPr/>
      </w:pPr>
      <w:hyperlink w:anchor="_Toc239708043">
        <w:r>
          <w:rPr>
            <w:rStyle w:val="IndexLink"/>
          </w:rPr>
          <w:t>Tabelle 4 Projektrisiken und Gegenmassnahmen</w:t>
          <w:tab/>
          <w:t>5</w:t>
        </w:r>
      </w:hyperlink>
    </w:p>
    <w:p>
      <w:pPr>
        <w:pStyle w:val="FigureIndex1"/>
        <w:rPr/>
      </w:pPr>
      <w:hyperlink w:anchor="_Toc239708044">
        <w:r>
          <w:rPr>
            <w:rStyle w:val="IndexLink"/>
          </w:rPr>
          <w:t>Tabelle 5 Funktionale Anforderungen und Szenarien</w:t>
          <w:tab/>
          <w:t>8</w:t>
        </w:r>
      </w:hyperlink>
    </w:p>
    <w:p>
      <w:pPr>
        <w:pStyle w:val="FigureIndex1"/>
        <w:rPr/>
      </w:pPr>
      <w:hyperlink w:anchor="_Toc239708045">
        <w:r>
          <w:rPr>
            <w:rStyle w:val="IndexLink"/>
          </w:rPr>
          <w:t>Tabelle 6 Nichtfunktionale Anforderungen und Szenarien</w:t>
          <w:tab/>
          <w:t>10</w:t>
        </w:r>
      </w:hyperlink>
    </w:p>
    <w:p>
      <w:pPr>
        <w:pStyle w:val="FigureIndex1"/>
        <w:rPr/>
      </w:pPr>
      <w:hyperlink w:anchor="_Toc239708046">
        <w:r>
          <w:rPr>
            <w:rStyle w:val="IndexLink"/>
          </w:rPr>
          <w:t>Tabelle 7 Anwendungsfälle und Abnahmekriterien</w:t>
          <w:tab/>
          <w:t>13</w:t>
        </w:r>
      </w:hyperlink>
    </w:p>
    <w:p>
      <w:pPr>
        <w:pStyle w:val="FigureIndex1"/>
        <w:rPr/>
      </w:pPr>
      <w:hyperlink w:anchor="_Toc239708047">
        <w:r>
          <w:rPr>
            <w:rStyle w:val="IndexLink"/>
          </w:rPr>
          <w:t>Tabelle 8 Technologieauswahl und Begründung</w:t>
          <w:tab/>
          <w:t>16</w:t>
        </w:r>
      </w:hyperlink>
    </w:p>
    <w:p>
      <w:pPr>
        <w:pStyle w:val="FigureIndex1"/>
        <w:rPr/>
      </w:pPr>
      <w:hyperlink w:anchor="_Toc239708048">
        <w:r>
          <w:rPr>
            <w:rStyle w:val="IndexLink"/>
          </w:rPr>
          <w:t>Tabelle 9 Ansichten der Benutzeroberfläche</w:t>
          <w:tab/>
          <w:t>18</w:t>
        </w:r>
      </w:hyperlink>
    </w:p>
    <w:p>
      <w:pPr>
        <w:pStyle w:val="FigureIndex1"/>
        <w:rPr/>
      </w:pPr>
      <w:hyperlink w:anchor="_Toc239708049">
        <w:r>
          <w:rPr>
            <w:rStyle w:val="IndexLink"/>
          </w:rPr>
          <w:t>Tabelle 10 Sicherheitsmassnahmen für RepairHub</w:t>
          <w:tab/>
          <w:t>24</w:t>
        </w:r>
      </w:hyperlink>
    </w:p>
    <w:p>
      <w:pPr>
        <w:pStyle w:val="FigureIndex1"/>
        <w:rPr/>
      </w:pPr>
      <w:hyperlink w:anchor="_Toc239708015">
        <w:r>
          <w:rPr>
            <w:rStyle w:val="IndexLink"/>
          </w:rPr>
          <w:t>Tabelle 11 Ausgewählte Abnahmetests</w:t>
          <w:tab/>
          <w:t>26</w:t>
        </w:r>
      </w:hyperlink>
      <w:r>
        <w:rPr>
          <w:rStyle w:val="IndexLink"/>
        </w:rPr>
        <w:fldChar w:fldCharType="end"/>
      </w:r>
    </w:p>
    <w:p>
      <w:pPr>
        <w:pStyle w:val="Normal"/>
        <w:rPr/>
      </w:pPr>
      <w:r>
        <w:rPr/>
      </w:r>
      <w:r>
        <w:br w:type="page"/>
      </w:r>
    </w:p>
    <w:p>
      <w:pPr>
        <w:pStyle w:val="Heading1"/>
        <w:rPr/>
      </w:pPr>
      <w:bookmarkStart w:id="93" w:name="__RefHeading___Toc9035_803372697"/>
      <w:bookmarkStart w:id="94" w:name="_Toc239708028"/>
      <w:bookmarkEnd w:id="93"/>
      <w:r>
        <w:rPr/>
        <w:t>13 Quellenverzeichnis</w:t>
      </w:r>
      <w:bookmarkEnd w:id="94"/>
    </w:p>
    <w:p>
      <w:pPr>
        <w:pStyle w:val="Normal"/>
        <w:rPr/>
      </w:pPr>
      <w:r>
        <w:rPr/>
        <w:t>RepairHub (2026a). Implementierter Quellstand und technische Dokumentation. Eigener Projektbestand, Commit 4b59e03022a3c669136ebd4499b096fcad3efcdb. https://github.com/GojicDragan/RepairHub; insbesondere docs/domain-architecture.md, docs/api.md, docs/ci-cd.md, docs/images.md und docs/pdf-reports.md.</w:t>
      </w:r>
    </w:p>
    <w:p>
      <w:pPr>
        <w:pStyle w:val="Normal"/>
        <w:rPr/>
      </w:pPr>
      <w:r>
        <w:rPr/>
        <w:t>RepairHub (2026b). Gesamtabnahme und Testprotokoll vom 22. September 2026. Eigene Prüfergebnisse: docs/acceptance-test-protocol.md, docs/t12-validation.md und docs/validation/t12.json.</w:t>
      </w:r>
    </w:p>
    <w:p>
      <w:pPr>
        <w:pStyle w:val="Normal"/>
        <w:rPr/>
      </w:pPr>
      <w:r>
        <w:rPr/>
        <w:t>RepairHub (2026c). Bebilderte Benutzeranleitung. Eigene Playwright-Aufnahmen der isolierten Anwendung: docs/user-guide/README.md; Ablauf unter scripts/documentation/capture_user_guide.py. Stand: 22. September 2026.</w:t>
      </w:r>
    </w:p>
    <w:p>
      <w:pPr>
        <w:pStyle w:val="Normal"/>
        <w:keepLines/>
        <w:rPr/>
      </w:pPr>
      <w:r>
        <w:rPr/>
        <w:t>Docker Inc. (o. J. a). Networking in Compose. Abgerufen am 7. September 2026 von https://docs.docker.com/compose/how-tos/networking/</w:t>
      </w:r>
    </w:p>
    <w:p>
      <w:pPr>
        <w:pStyle w:val="Normal"/>
        <w:keepLines/>
        <w:rPr/>
      </w:pPr>
      <w:r>
        <w:rPr/>
        <w:t>Docker Inc. (o. J. b). Use Compose in production. Abgerufen am 7. September 2026 von https://docs.docker.com/compose/how-tos/production/</w:t>
      </w:r>
    </w:p>
    <w:p>
      <w:pPr>
        <w:pStyle w:val="Normal"/>
        <w:keepLines/>
        <w:rPr/>
      </w:pPr>
      <w:r>
        <w:rPr/>
        <w:t>Docker Inc. (o. J. c). Volumes. Abgerufen am 7. September 2026 von https://docs.docker.com/engine/storage/volumes/</w:t>
      </w:r>
    </w:p>
    <w:p>
      <w:pPr>
        <w:pStyle w:val="Normal"/>
        <w:keepLines/>
        <w:rPr/>
      </w:pPr>
      <w:r>
        <w:rPr/>
        <w:t>F5 (o. J.). Module ngx_http_proxy_module. Abgerufen am 7. September 2026 von https://nginx.org/en/docs/http/ngx_http_proxy_module.html</w:t>
      </w:r>
    </w:p>
    <w:p>
      <w:pPr>
        <w:pStyle w:val="Normal"/>
        <w:keepLines/>
        <w:rPr/>
      </w:pPr>
      <w:r>
        <w:rPr/>
        <w:t>Flask-Login (o. J.). Flask-Login Documentation. Abgerufen am 7. September 2026 von https://flask-login.readthedocs.io/en/latest/</w:t>
      </w:r>
    </w:p>
    <w:p>
      <w:pPr>
        <w:pStyle w:val="Normal"/>
        <w:keepLines/>
        <w:rPr/>
      </w:pPr>
      <w:r>
        <w:rPr/>
        <w:t>Flask-WTF (o. J.). Flask-WTF Documentation. Abgerufen am 7. September 2026 von https://flask-wtf.readthedocs.io/en/1.2.x/</w:t>
      </w:r>
    </w:p>
    <w:p>
      <w:pPr>
        <w:pStyle w:val="Normal"/>
        <w:keepLines/>
        <w:rPr/>
      </w:pPr>
      <w:r>
        <w:rPr/>
        <w:t>Grinberg, M. (o. J.). Flask-Migrate Documentation. Abgerufen am 7. September 2026 von https://flask-migrate.readthedocs.io/en/latest/</w:t>
      </w:r>
    </w:p>
    <w:p>
      <w:pPr>
        <w:pStyle w:val="Normal"/>
        <w:keepLines/>
        <w:rPr/>
      </w:pPr>
      <w:r>
        <w:rPr/>
        <w:t>Pallets (o. J.). Flask Documentation. Abgerufen am 7. September 2026 von https://flask.palletsprojects.com/en/stable/</w:t>
      </w:r>
    </w:p>
    <w:p>
      <w:pPr>
        <w:pStyle w:val="Normal"/>
        <w:keepLines/>
        <w:rPr/>
      </w:pPr>
      <w:r>
        <w:rPr/>
        <w:t>PostgreSQL Global Development Group (o. J.). Numeric Types. Abgerufen am 7. September 2026 von https://www.postgresql.org/docs/current/datatype-numeric.html</w:t>
      </w:r>
    </w:p>
    <w:p>
      <w:pPr>
        <w:pStyle w:val="Normal"/>
        <w:keepLines/>
        <w:rPr/>
      </w:pPr>
      <w:r>
        <w:rPr/>
        <w:t>SQLAlchemy (o. J.). SQLAlchemy ORM. Abgerufen am 7. September 2026 von https://docs.sqlalchemy.org/en/20/orm/</w:t>
      </w:r>
    </w:p>
    <w:p>
      <w:pPr>
        <w:pStyle w:val="Heading1"/>
        <w:rPr/>
      </w:pPr>
      <w:bookmarkStart w:id="95" w:name="__RefHeading___Toc9037_803372697"/>
      <w:bookmarkStart w:id="96" w:name="_Toc239708029"/>
      <w:bookmarkEnd w:id="95"/>
      <w:r>
        <w:rPr/>
        <w:t>Anhänge</w:t>
      </w:r>
      <w:bookmarkEnd w:id="96"/>
    </w:p>
    <w:p>
      <w:pPr>
        <w:pStyle w:val="Normal"/>
        <w:rPr/>
      </w:pPr>
      <w:r>
        <w:rPr/>
        <w:t>Anhang A: docs/user-guide/README.md mit Bildschirmaufnahmen und PDF-Beispiel. Anhang B: docs/acceptance-test-protocol.md und docs/validation/t12.json. Anhang C: docs/diagrams mit bearbeitbaren PlantUML-Quellen. Anhang D: docs/submission/README.md als Übergabeblatt; Zugangsdaten separat übergeben.</w:t>
      </w:r>
      <w:r>
        <w:br w:type="page"/>
      </w:r>
    </w:p>
    <w:p>
      <w:pPr>
        <w:pStyle w:val="Heading1"/>
        <w:rPr/>
      </w:pPr>
      <w:bookmarkStart w:id="97" w:name="__RefHeading___Toc9039_803372697"/>
      <w:bookmarkStart w:id="98" w:name="_Toc239708030"/>
      <w:bookmarkEnd w:id="97"/>
      <w:r>
        <w:rPr/>
        <w:t>Eigenständigkeitserklärung und Deklaration des KI-Einsatzes</w:t>
      </w:r>
      <w:bookmarkEnd w:id="98"/>
    </w:p>
    <w:p>
      <w:pPr>
        <w:pStyle w:val="Normal"/>
        <w:rPr/>
      </w:pPr>
      <w:r>
        <w:rPr/>
        <w:t>Vorlage gemäss ipso!-Leitfaden, Abschnitt 1.4.13. Erst nach eigener Prüfung durch den Verfasser ausfüllen und unterschreiben.</w:t>
      </w:r>
    </w:p>
    <w:p>
      <w:pPr>
        <w:pStyle w:val="Normal"/>
        <w:rPr/>
      </w:pPr>
      <w:r>
        <w:rPr/>
        <w:t>Ich bestätige, dass ich diese Arbeit selbständig verfasst und keine anderen als die angegebenen Quellen dafür benutzt habe. Alle Stellen, die wörtlich oder sinngemäss übernommen oder mittels generativen KI-Systemen erstellt wurden, habe ich als solche kenntlich gemacht. Die Arbeit wurde bisher in gleicher oder ähnlicher Form weder veröffentlicht noch einer anderen Prüfungsbehörde vorgelegt.</w:t>
      </w:r>
    </w:p>
    <w:p>
      <w:pPr>
        <w:pStyle w:val="Normal"/>
        <w:rPr/>
      </w:pPr>
      <w:r>
        <w:rPr/>
        <w:t>Ort, Datum: ____________________  Vorname Name: ____________________</w:t>
      </w:r>
    </w:p>
    <w:p>
      <w:pPr>
        <w:pStyle w:val="Normal"/>
        <w:rPr/>
      </w:pPr>
      <w:r>
        <w:rPr/>
        <w:t>Unterschrift: ____________________</w:t>
      </w:r>
    </w:p>
    <w:p>
      <w:pPr>
        <w:pStyle w:val="Normal"/>
        <w:rPr/>
      </w:pPr>
      <w:r>
        <w:rPr/>
        <w:t>Entwurf der KI-Deklaration; tatsächlichen Einsatz vor Unterzeichnung prüfen und vervollständigen:</w:t>
      </w:r>
    </w:p>
    <w:tbl>
      <w:tblPr>
        <w:tblStyle w:val="Tabellenraster"/>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KI-Werkzeug</w:t>
            </w:r>
          </w:p>
        </w:tc>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Einsatzzweck</w:t>
            </w:r>
          </w:p>
        </w:tc>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Einsatzbereich</w:t>
            </w:r>
          </w:p>
        </w:tc>
      </w:tr>
      <w:tr>
        <w:trPr>
          <w:cantSplit w:val="true"/>
        </w:trPr>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Codex</w:t>
            </w:r>
          </w:p>
        </w:tc>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Programmierung, Kommentare und Testunterstützung</w:t>
            </w:r>
          </w:p>
        </w:tc>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Quellcode / technische Kapitel 4–6</w:t>
            </w:r>
          </w:p>
        </w:tc>
      </w:tr>
      <w:tr>
        <w:trPr>
          <w:cantSplit w:val="true"/>
        </w:trPr>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Codex</w:t>
            </w:r>
          </w:p>
        </w:tc>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Abgleich vorhandener Unterlagen mit Implementierung und Prüfergebnissen</w:t>
            </w:r>
          </w:p>
        </w:tc>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Kapitel 2–7, Zielerfüllung 8.1, Verzeichnisse</w:t>
            </w:r>
          </w:p>
        </w:tc>
      </w:tr>
      <w:tr>
        <w:trPr>
          <w:cantSplit w:val="true"/>
        </w:trPr>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Codex mit Playwright</w:t>
            </w:r>
          </w:p>
        </w:tc>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Ausführung der Demoabläufe und Bildschirmaufnahmen</w:t>
            </w:r>
          </w:p>
        </w:tc>
        <w:tc>
          <w:tcPr>
            <w:tcW w:w="3024" w:type="dxa"/>
            <w:tcBorders/>
          </w:tcPr>
          <w:p>
            <w:pPr>
              <w:pStyle w:val="Normal"/>
              <w:widowControl/>
              <w:jc w:val="start"/>
              <w:rPr>
                <w:rFonts w:eastAsia="ＭＳ 明朝" w:cs=""/>
                <w:kern w:val="0"/>
                <w:szCs w:val="22"/>
                <w:lang w:eastAsia="en-US" w:bidi="ar-SA"/>
              </w:rPr>
            </w:pPr>
            <w:r>
              <w:rPr>
                <w:rFonts w:eastAsia="ＭＳ 明朝" w:cs=""/>
                <w:kern w:val="0"/>
                <w:sz w:val="20"/>
                <w:szCs w:val="22"/>
                <w:lang w:eastAsia="en-US" w:bidi="ar-SA"/>
              </w:rPr>
              <w:t>Benutzeranleitung / Anhang A</w:t>
            </w:r>
          </w:p>
        </w:tc>
      </w:tr>
    </w:tbl>
    <w:sectPr>
      <w:headerReference w:type="default" r:id="rId12"/>
      <w:footerReference w:type="default" r:id="rId13"/>
      <w:type w:val="nextPage"/>
      <w:pgSz w:w="11906" w:h="16838"/>
      <w:pgMar w:left="1701" w:right="1134" w:gutter="0" w:header="720" w:top="1417" w:footer="720"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Liberation Sans">
    <w:altName w:val="Arial"/>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Arial">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30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RepairHub · Arbeitsfassung T13 · persönliche Ergänzungen ausstehend</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RepairHub · Arbeitsfassung T13 · persönliche Ergänzungen ausstehend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false"/>
      <w:bidi w:val="0"/>
      <w:spacing w:lineRule="auto" w:line="240" w:before="0" w:after="0"/>
      <w:jc w:val="both"/>
    </w:pPr>
    <w:rPr>
      <w:rFonts w:ascii="Liberation Sans" w:hAnsi="Liberation Sans" w:eastAsia="ＭＳ 明朝" w:cs=""/>
      <w:color w:val="000000"/>
      <w:kern w:val="0"/>
      <w:sz w:val="22"/>
      <w:szCs w:val="22"/>
      <w:lang w:val="de-CH" w:eastAsia="en-US" w:bidi="ar-SA"/>
    </w:rPr>
  </w:style>
  <w:style w:type="paragraph" w:styleId="Heading1">
    <w:name w:val="Heading 1"/>
    <w:basedOn w:val="Normal"/>
    <w:next w:val="Normal"/>
    <w:link w:val="Berschrift1Zchn"/>
    <w:uiPriority w:val="9"/>
    <w:qFormat/>
    <w:rsid w:val="00fc693f"/>
    <w:pPr>
      <w:keepLines/>
      <w:jc w:val="start"/>
      <w:outlineLvl w:val="0"/>
    </w:pPr>
    <w:rPr>
      <w:rFonts w:ascii="Calibri" w:hAnsi="Calibri" w:eastAsia="ＭＳ ゴシック" w:cs="" w:asciiTheme="majorHAnsi" w:cstheme="majorBidi" w:eastAsiaTheme="majorEastAsia" w:hAnsiTheme="majorHAnsi"/>
      <w:b/>
      <w:bCs/>
      <w:sz w:val="24"/>
      <w:szCs w:val="28"/>
    </w:rPr>
  </w:style>
  <w:style w:type="paragraph" w:styleId="Heading2">
    <w:name w:val="Heading 2"/>
    <w:basedOn w:val="Normal"/>
    <w:next w:val="Normal"/>
    <w:link w:val="Berschrift2Zchn"/>
    <w:uiPriority w:val="9"/>
    <w:unhideWhenUsed/>
    <w:qFormat/>
    <w:rsid w:val="00fc693f"/>
    <w:pPr>
      <w:keepLines/>
      <w:ind w:start="255" w:hanging="0"/>
      <w:jc w:val="start"/>
      <w:outlineLvl w:val="1"/>
    </w:pPr>
    <w:rPr>
      <w:rFonts w:ascii="Calibri" w:hAnsi="Calibri" w:eastAsia="ＭＳ ゴシック" w:cs="" w:asciiTheme="majorHAnsi" w:cstheme="majorBidi" w:eastAsiaTheme="majorEastAsia" w:hAnsiTheme="majorHAnsi"/>
      <w:b/>
      <w:bCs/>
      <w:szCs w:val="26"/>
    </w:rPr>
  </w:style>
  <w:style w:type="paragraph" w:styleId="Heading3">
    <w:name w:val="Heading 3"/>
    <w:basedOn w:val="Normal"/>
    <w:next w:val="Normal"/>
    <w:link w:val="Berschrift3Zchn"/>
    <w:uiPriority w:val="9"/>
    <w:unhideWhenUsed/>
    <w:qFormat/>
    <w:rsid w:val="00fc693f"/>
    <w:pPr>
      <w:keepLines/>
      <w:ind w:start="510" w:hanging="0"/>
      <w:jc w:val="start"/>
      <w:outlineLvl w:val="2"/>
    </w:pPr>
    <w:rPr>
      <w:rFonts w:ascii="Calibri" w:hAnsi="Calibri" w:eastAsia="ＭＳ ゴシック" w:cs="" w:asciiTheme="majorHAnsi" w:cstheme="majorBidi" w:eastAsiaTheme="majorEastAsia" w:hAnsiTheme="majorHAnsi"/>
      <w:b/>
      <w:bCs/>
    </w:rPr>
  </w:style>
  <w:style w:type="paragraph" w:styleId="Heading4">
    <w:name w:val="Heading 4"/>
    <w:basedOn w:val="Normal"/>
    <w:next w:val="Normal"/>
    <w:link w:val="Berschrift4Zchn"/>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Berschrift5Zchn"/>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Berschrift6Zchn"/>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Berschrift7Zchn"/>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Berschrift8Zchn"/>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Berschrift9Zchn"/>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link w:val="Header"/>
    <w:uiPriority w:val="99"/>
    <w:qFormat/>
    <w:rsid w:val="00e618bf"/>
    <w:rPr/>
  </w:style>
  <w:style w:type="character" w:styleId="FuzeileZchn" w:customStyle="1">
    <w:name w:val="Fußzeile Zchn"/>
    <w:basedOn w:val="DefaultParagraphFont"/>
    <w:link w:val="Footer"/>
    <w:uiPriority w:val="99"/>
    <w:qFormat/>
    <w:rsid w:val="00e618bf"/>
    <w:rPr/>
  </w:style>
  <w:style w:type="character" w:styleId="Berschrift1Zchn" w:customStyle="1">
    <w:name w:val="Überschrift 1 Zchn"/>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Berschrift2Zchn" w:customStyle="1">
    <w:name w:val="Überschrift 2 Zchn"/>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Berschrift3Zchn" w:customStyle="1">
    <w:name w:val="Überschrift 3 Zchn"/>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elZchn" w:customStyle="1">
    <w:name w:val="Titel Zchn"/>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UntertitelZchn" w:customStyle="1">
    <w:name w:val="Untertitel Zchn"/>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TextkrperZchn" w:customStyle="1">
    <w:name w:val="Textkörper Zchn"/>
    <w:basedOn w:val="DefaultParagraphFont"/>
    <w:uiPriority w:val="99"/>
    <w:qFormat/>
    <w:rsid w:val="00aa1d8d"/>
    <w:rPr/>
  </w:style>
  <w:style w:type="character" w:styleId="Textkrper2Zchn" w:customStyle="1">
    <w:name w:val="Textkörper 2 Zchn"/>
    <w:basedOn w:val="DefaultParagraphFont"/>
    <w:link w:val="BodyText2"/>
    <w:uiPriority w:val="99"/>
    <w:qFormat/>
    <w:rsid w:val="00aa1d8d"/>
    <w:rPr/>
  </w:style>
  <w:style w:type="character" w:styleId="Textkrper3Zchn" w:customStyle="1">
    <w:name w:val="Textkörper 3 Zchn"/>
    <w:basedOn w:val="DefaultParagraphFont"/>
    <w:link w:val="BodyText3"/>
    <w:uiPriority w:val="99"/>
    <w:qFormat/>
    <w:rsid w:val="00aa1d8d"/>
    <w:rPr>
      <w:sz w:val="16"/>
      <w:szCs w:val="16"/>
    </w:rPr>
  </w:style>
  <w:style w:type="character" w:styleId="MakrotextZchn" w:customStyle="1">
    <w:name w:val="Makrotext Zchn"/>
    <w:basedOn w:val="DefaultParagraphFont"/>
    <w:link w:val="Macro"/>
    <w:uiPriority w:val="99"/>
    <w:qFormat/>
    <w:rsid w:val="0029639d"/>
    <w:rPr>
      <w:rFonts w:ascii="Courier" w:hAnsi="Courier"/>
      <w:sz w:val="20"/>
      <w:szCs w:val="20"/>
    </w:rPr>
  </w:style>
  <w:style w:type="character" w:styleId="ZitatZchn" w:customStyle="1">
    <w:name w:val="Zitat Zchn"/>
    <w:basedOn w:val="DefaultParagraphFont"/>
    <w:link w:val="Quote"/>
    <w:uiPriority w:val="29"/>
    <w:qFormat/>
    <w:rsid w:val="00fc693f"/>
    <w:rPr>
      <w:i/>
      <w:iCs/>
      <w:color w:val="000000" w:themeColor="text1"/>
    </w:rPr>
  </w:style>
  <w:style w:type="character" w:styleId="Berschrift4Zchn" w:customStyle="1">
    <w:name w:val="Überschrift 4 Zchn"/>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Berschrift5Zchn" w:customStyle="1">
    <w:name w:val="Überschrift 5 Zchn"/>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Berschrift6Zchn" w:customStyle="1">
    <w:name w:val="Überschrift 6 Zchn"/>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Berschrift7Zchn" w:customStyle="1">
    <w:name w:val="Überschrift 7 Zchn"/>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Berschrift8Zchn" w:customStyle="1">
    <w:name w:val="Überschrift 8 Zchn"/>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Berschrift9Zchn" w:customStyle="1">
    <w:name w:val="Überschrift 9 Zchn"/>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ivesZitatZchn" w:customStyle="1">
    <w:name w:val="Intensives Zitat Zchn"/>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basedOn w:val="DefaultParagraphFont"/>
    <w:uiPriority w:val="99"/>
    <w:unhideWhenUsed/>
    <w:rsid w:val="003c7105"/>
    <w:rPr>
      <w:color w:val="0000FF" w:themeColor="hyperlink"/>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link w:val="TextkrperZchn"/>
    <w:uiPriority w:val="99"/>
    <w:unhideWhenUsed/>
    <w:rsid w:val="00aa1d8d"/>
    <w:pPr>
      <w:spacing w:before="0" w:after="120"/>
    </w:pPr>
    <w:rPr/>
  </w:style>
  <w:style w:type="paragraph" w:styleId="List">
    <w:name w:val="List"/>
    <w:basedOn w:val="Normal"/>
    <w:uiPriority w:val="99"/>
    <w:unhideWhenUsed/>
    <w:rsid w:val="00aa1d8d"/>
    <w:pPr>
      <w:spacing w:before="0" w:after="0"/>
      <w:ind w:start="360" w:hanging="360"/>
      <w:contextualSpacing/>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e618bf"/>
    <w:pPr>
      <w:tabs>
        <w:tab w:val="clear" w:pos="720"/>
        <w:tab w:val="center" w:pos="4680" w:leader="none"/>
        <w:tab w:val="right" w:pos="9360" w:leader="none"/>
      </w:tabs>
    </w:pPr>
    <w:rPr/>
  </w:style>
  <w:style w:type="paragraph" w:styleId="Footer">
    <w:name w:val="Footer"/>
    <w:basedOn w:val="Normal"/>
    <w:link w:val="FuzeileZchn"/>
    <w:uiPriority w:val="99"/>
    <w:unhideWhenUsed/>
    <w:rsid w:val="00e618bf"/>
    <w:pPr>
      <w:tabs>
        <w:tab w:val="clear" w:pos="720"/>
        <w:tab w:val="center" w:pos="4680" w:leader="none"/>
        <w:tab w:val="right" w:pos="9360" w:leader="none"/>
      </w:tabs>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elZchn"/>
    <w:uiPriority w:val="10"/>
    <w:qFormat/>
    <w:rsid w:val="00fc693f"/>
    <w:pPr>
      <w:spacing w:before="0" w:after="0"/>
      <w:contextualSpacing/>
      <w:jc w:val="start"/>
    </w:pPr>
    <w:rPr>
      <w:rFonts w:ascii="Calibri" w:hAnsi="Calibri" w:eastAsia="ＭＳ ゴシック" w:cs="" w:asciiTheme="majorHAnsi" w:cstheme="majorBidi" w:eastAsiaTheme="majorEastAsia" w:hAnsiTheme="majorHAnsi"/>
      <w:spacing w:val="5"/>
      <w:kern w:val="2"/>
      <w:sz w:val="44"/>
      <w:szCs w:val="52"/>
    </w:rPr>
  </w:style>
  <w:style w:type="paragraph" w:styleId="Subtitle">
    <w:name w:val="Subtitle"/>
    <w:basedOn w:val="Normal"/>
    <w:next w:val="Normal"/>
    <w:link w:val="UntertitelZchn"/>
    <w:uiPriority w:val="11"/>
    <w:qFormat/>
    <w:rsid w:val="00fc693f"/>
    <w:pPr>
      <w:jc w:val="start"/>
    </w:pPr>
    <w:rPr>
      <w:rFonts w:ascii="Calibri" w:hAnsi="Calibri" w:eastAsia="ＭＳ ゴシック" w:cs="" w:asciiTheme="majorHAnsi" w:cstheme="majorBidi" w:eastAsiaTheme="majorEastAsia" w:hAnsiTheme="majorHAnsi"/>
      <w:i/>
      <w:iCs/>
      <w:spacing w:val="15"/>
      <w:szCs w:val="24"/>
    </w:rPr>
  </w:style>
  <w:style w:type="paragraph" w:styleId="ListParagraph">
    <w:name w:val="List Paragraph"/>
    <w:basedOn w:val="Normal"/>
    <w:uiPriority w:val="34"/>
    <w:qFormat/>
    <w:rsid w:val="00fc693f"/>
    <w:pPr>
      <w:spacing w:before="0" w:after="0"/>
      <w:ind w:start="720" w:hanging="0"/>
      <w:contextualSpacing/>
    </w:pPr>
    <w:rPr/>
  </w:style>
  <w:style w:type="paragraph" w:styleId="BodyText2">
    <w:name w:val="Body Text 2"/>
    <w:basedOn w:val="Normal"/>
    <w:link w:val="Textkrper2Zchn"/>
    <w:uiPriority w:val="99"/>
    <w:unhideWhenUsed/>
    <w:qFormat/>
    <w:rsid w:val="00aa1d8d"/>
    <w:pPr>
      <w:spacing w:lineRule="auto" w:line="480" w:before="0" w:after="120"/>
    </w:pPr>
    <w:rPr/>
  </w:style>
  <w:style w:type="paragraph" w:styleId="BodyText3">
    <w:name w:val="Body Text 3"/>
    <w:basedOn w:val="Normal"/>
    <w:link w:val="Textkrper3Zchn"/>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0"/>
      <w:ind w:start="720" w:hanging="360"/>
      <w:contextualSpacing/>
    </w:pPr>
    <w:rPr/>
  </w:style>
  <w:style w:type="paragraph" w:styleId="List3">
    <w:name w:val="List Bullet 4"/>
    <w:basedOn w:val="Normal"/>
    <w:uiPriority w:val="99"/>
    <w:unhideWhenUsed/>
    <w:rsid w:val="00326f90"/>
    <w:pPr>
      <w:spacing w:before="0" w:after="0"/>
      <w:ind w:start="1080" w:hanging="360"/>
      <w:contextualSpacing/>
    </w:pPr>
    <w:rPr/>
  </w:style>
  <w:style w:type="paragraph" w:styleId="ListBullet">
    <w:name w:val="List Bullet"/>
    <w:basedOn w:val="Normal"/>
    <w:uiPriority w:val="99"/>
    <w:unhideWhenUsed/>
    <w:qFormat/>
    <w:rsid w:val="00326f90"/>
    <w:pPr>
      <w:numPr>
        <w:ilvl w:val="0"/>
        <w:numId w:val="1"/>
      </w:numPr>
      <w:spacing w:before="0" w:after="0"/>
      <w:contextualSpacing/>
    </w:pPr>
    <w:rPr/>
  </w:style>
  <w:style w:type="paragraph" w:styleId="ListBullet2">
    <w:name w:val="List Bullet 2"/>
    <w:basedOn w:val="Normal"/>
    <w:uiPriority w:val="99"/>
    <w:unhideWhenUsed/>
    <w:qFormat/>
    <w:rsid w:val="00326f90"/>
    <w:pPr>
      <w:numPr>
        <w:ilvl w:val="0"/>
        <w:numId w:val="2"/>
      </w:numPr>
      <w:spacing w:before="0" w:after="0"/>
      <w:contextualSpacing/>
    </w:pPr>
    <w:rPr/>
  </w:style>
  <w:style w:type="paragraph" w:styleId="ListBullet3">
    <w:name w:val="List Bullet 3"/>
    <w:basedOn w:val="Normal"/>
    <w:uiPriority w:val="99"/>
    <w:unhideWhenUsed/>
    <w:qFormat/>
    <w:rsid w:val="00326f90"/>
    <w:pPr>
      <w:numPr>
        <w:ilvl w:val="0"/>
        <w:numId w:val="3"/>
      </w:numPr>
      <w:spacing w:before="0" w:after="0"/>
      <w:contextualSpacing/>
    </w:pPr>
    <w:rPr/>
  </w:style>
  <w:style w:type="paragraph" w:styleId="ListNumber">
    <w:name w:val="List Number"/>
    <w:basedOn w:val="Normal"/>
    <w:uiPriority w:val="99"/>
    <w:unhideWhenUsed/>
    <w:qFormat/>
    <w:rsid w:val="00326f90"/>
    <w:pPr>
      <w:numPr>
        <w:ilvl w:val="0"/>
        <w:numId w:val="4"/>
      </w:numPr>
      <w:spacing w:before="0" w:after="0"/>
      <w:contextualSpacing/>
    </w:pPr>
    <w:rPr/>
  </w:style>
  <w:style w:type="paragraph" w:styleId="ListNumber2">
    <w:name w:val="List Number 2"/>
    <w:basedOn w:val="Normal"/>
    <w:uiPriority w:val="99"/>
    <w:unhideWhenUsed/>
    <w:qFormat/>
    <w:rsid w:val="0029639d"/>
    <w:pPr>
      <w:numPr>
        <w:ilvl w:val="0"/>
        <w:numId w:val="5"/>
      </w:numPr>
      <w:spacing w:before="0" w:after="0"/>
      <w:contextualSpacing/>
    </w:pPr>
    <w:rPr/>
  </w:style>
  <w:style w:type="paragraph" w:styleId="ListNumber3">
    <w:name w:val="List Number 3"/>
    <w:basedOn w:val="Normal"/>
    <w:uiPriority w:val="99"/>
    <w:unhideWhenUsed/>
    <w:qFormat/>
    <w:rsid w:val="0029639d"/>
    <w:pPr>
      <w:numPr>
        <w:ilvl w:val="0"/>
        <w:numId w:val="6"/>
      </w:numPr>
      <w:spacing w:before="0" w:after="0"/>
      <w:contextualSpacing/>
    </w:pPr>
    <w:rPr/>
  </w:style>
  <w:style w:type="paragraph" w:styleId="ListContinue">
    <w:name w:val="List Continue"/>
    <w:basedOn w:val="Normal"/>
    <w:uiPriority w:val="99"/>
    <w:unhideWhenUsed/>
    <w:qFormat/>
    <w:rsid w:val="0029639d"/>
    <w:pPr>
      <w:spacing w:before="0" w:after="120"/>
      <w:ind w:start="360" w:hanging="0"/>
      <w:contextualSpacing/>
    </w:pPr>
    <w:rPr/>
  </w:style>
  <w:style w:type="paragraph" w:styleId="ListContinue2">
    <w:name w:val="List Continue 2"/>
    <w:basedOn w:val="Normal"/>
    <w:uiPriority w:val="99"/>
    <w:unhideWhenUsed/>
    <w:qFormat/>
    <w:rsid w:val="0029639d"/>
    <w:pPr>
      <w:spacing w:before="0" w:after="120"/>
      <w:ind w:start="720" w:hanging="0"/>
      <w:contextualSpacing/>
    </w:pPr>
    <w:rPr/>
  </w:style>
  <w:style w:type="paragraph" w:styleId="ListContinue3">
    <w:name w:val="List Continue 3"/>
    <w:basedOn w:val="Normal"/>
    <w:uiPriority w:val="99"/>
    <w:unhideWhenUsed/>
    <w:qFormat/>
    <w:rsid w:val="0029639d"/>
    <w:pPr>
      <w:spacing w:before="0" w:after="120"/>
      <w:ind w:start="1080" w:hanging="0"/>
      <w:contextualSpacing/>
    </w:pPr>
    <w:rPr/>
  </w:style>
  <w:style w:type="paragraph" w:styleId="Macro">
    <w:name w:val="macro"/>
    <w:link w:val="MakrotextZchn"/>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ZitatZchn"/>
    <w:uiPriority w:val="29"/>
    <w:qFormat/>
    <w:rsid w:val="00fc693f"/>
    <w:pPr/>
    <w:rPr>
      <w:i/>
      <w:iCs/>
      <w:color w:val="000000" w:themeColor="text1"/>
    </w:rPr>
  </w:style>
  <w:style w:type="paragraph" w:styleId="Caption1">
    <w:name w:val="caption"/>
    <w:basedOn w:val="Normal"/>
    <w:next w:val="Normal"/>
    <w:uiPriority w:val="35"/>
    <w:unhideWhenUsed/>
    <w:qFormat/>
    <w:rsid w:val="00fc693f"/>
    <w:pPr>
      <w:jc w:val="start"/>
    </w:pPr>
    <w:rPr>
      <w:b/>
      <w:bCs/>
      <w:sz w:val="20"/>
      <w:szCs w:val="18"/>
    </w:rPr>
  </w:style>
  <w:style w:type="paragraph" w:styleId="IntenseQuote">
    <w:name w:val="Intense Quote"/>
    <w:basedOn w:val="Normal"/>
    <w:next w:val="Normal"/>
    <w:link w:val="IntensivesZitatZchn"/>
    <w:uiPriority w:val="30"/>
    <w:qFormat/>
    <w:rsid w:val="00fc693f"/>
    <w:pPr>
      <w:spacing w:before="200" w:after="280"/>
      <w:ind w:start="936" w:end="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fc693f"/>
    <w:pPr>
      <w:outlineLvl w:val="9"/>
    </w:pPr>
    <w:rPr/>
  </w:style>
  <w:style w:type="paragraph" w:styleId="Contents1">
    <w:name w:val="TOC 1"/>
    <w:basedOn w:val="Normal"/>
    <w:next w:val="Normal"/>
    <w:autoRedefine/>
    <w:uiPriority w:val="39"/>
    <w:unhideWhenUsed/>
    <w:rsid w:val="003c7105"/>
    <w:pPr>
      <w:jc w:val="start"/>
    </w:pPr>
    <w:rPr/>
  </w:style>
  <w:style w:type="paragraph" w:styleId="Contents2">
    <w:name w:val="TOC 2"/>
    <w:basedOn w:val="Normal"/>
    <w:next w:val="Normal"/>
    <w:autoRedefine/>
    <w:uiPriority w:val="39"/>
    <w:unhideWhenUsed/>
    <w:rsid w:val="003c7105"/>
    <w:pPr>
      <w:ind w:start="255" w:hanging="0"/>
      <w:jc w:val="start"/>
    </w:pPr>
    <w:rPr/>
  </w:style>
  <w:style w:type="paragraph" w:styleId="Contents3">
    <w:name w:val="TOC 3"/>
    <w:basedOn w:val="Normal"/>
    <w:next w:val="Normal"/>
    <w:autoRedefine/>
    <w:uiPriority w:val="39"/>
    <w:unhideWhenUsed/>
    <w:rsid w:val="003c7105"/>
    <w:pPr>
      <w:ind w:start="510" w:hanging="0"/>
      <w:jc w:val="start"/>
    </w:pPr>
    <w:rPr/>
  </w:style>
  <w:style w:type="paragraph" w:styleId="TableSource" w:customStyle="1">
    <w:name w:val="Table Source"/>
    <w:qFormat/>
    <w:pPr>
      <w:widowControl/>
      <w:bidi w:val="0"/>
      <w:spacing w:lineRule="auto" w:line="240" w:before="0" w:after="0"/>
      <w:jc w:val="start"/>
    </w:pPr>
    <w:rPr>
      <w:rFonts w:ascii="Arial" w:hAnsi="Arial" w:eastAsia="ＭＳ 明朝" w:cs=""/>
      <w:color w:val="000000"/>
      <w:kern w:val="0"/>
      <w:sz w:val="20"/>
      <w:szCs w:val="22"/>
      <w:lang w:val="en-US" w:eastAsia="en-US" w:bidi="ar-SA"/>
    </w:rPr>
  </w:style>
  <w:style w:type="paragraph" w:styleId="Abbildungsverzeichnis1" w:customStyle="1">
    <w:name w:val="Abbildungsverzeichnis1"/>
    <w:qFormat/>
    <w:pPr>
      <w:widowControl/>
      <w:bidi w:val="0"/>
      <w:spacing w:lineRule="auto" w:line="240" w:before="0" w:after="0"/>
      <w:jc w:val="start"/>
    </w:pPr>
    <w:rPr>
      <w:rFonts w:ascii="Arial" w:hAnsi="Arial" w:eastAsia="ＭＳ 明朝" w:cs=""/>
      <w:color w:val="000000"/>
      <w:kern w:val="0"/>
      <w:sz w:val="22"/>
      <w:szCs w:val="22"/>
      <w:lang w:val="en-US" w:eastAsia="en-US" w:bidi="ar-SA"/>
    </w:rPr>
  </w:style>
  <w:style w:type="paragraph" w:styleId="Tableoffigures">
    <w:name w:val="table of figures"/>
    <w:basedOn w:val="Normal"/>
    <w:next w:val="Normal"/>
    <w:uiPriority w:val="99"/>
    <w:unhideWhenUsed/>
    <w:qFormat/>
    <w:rsid w:val="00477981"/>
    <w:pPr/>
    <w:rPr/>
  </w:style>
  <w:style w:type="paragraph" w:styleId="FigureIndex1">
    <w:name w:val="Figure Index 1"/>
    <w:basedOn w:val="Index"/>
    <w:qFormat/>
    <w:pPr>
      <w:tabs>
        <w:tab w:val="clear" w:pos="720"/>
        <w:tab w:val="right" w:pos="9071" w:leader="dot"/>
      </w:tabs>
      <w:ind w:start="0" w:hanging="0"/>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LibreOffice/7.4.7.2$Linux_X86_64 LibreOffice_project/40$Build-2</Application>
  <AppVersion>15.0000</AppVersion>
  <Pages>27</Pages>
  <Words>6029</Words>
  <Characters>37986</Characters>
  <CharactersWithSpaces>43928</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Dragan Gojic</dc:creator>
  <dc:description>generated by python-docx</dc:description>
  <dc:language>en-US</dc:language>
  <cp:lastModifiedBy/>
  <dcterms:modified xsi:type="dcterms:W3CDTF">2026-09-22T20:23:10Z</dcterms:modified>
  <cp:revision>8</cp:revision>
  <dc:subject/>
  <dc:title>RepairHub Projektdokumentation</dc:title>
</cp:coreProperties>
</file>

<file path=docProps/custom.xml><?xml version="1.0" encoding="utf-8"?>
<Properties xmlns="http://schemas.openxmlformats.org/officeDocument/2006/custom-properties" xmlns:vt="http://schemas.openxmlformats.org/officeDocument/2006/docPropsVTypes"/>
</file>