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32"/>
          <w:szCs w:val="32"/>
        </w:rPr>
        <w:t xml:space="preserve">Badanie drgań relaksacyjnych w układzie </w:t>
      </w:r>
      <w:r>
        <w:rPr>
          <w:rFonts w:ascii="Times New Roman" w:hAnsi="Times New Roman" w:cs="Times New Roman"/>
          <w:b/>
          <w:sz w:val="32"/>
          <w:szCs w:val="32"/>
        </w:rPr>
        <w:t xml:space="preserve">RC</w:t>
      </w:r>
      <w:r>
        <w:rPr>
          <w:rFonts w:ascii="Times New Roman" w:hAnsi="Times New Roman" w:cs="Times New Roman"/>
          <w:b/>
          <w:sz w:val="32"/>
          <w:szCs w:val="32"/>
        </w:rPr>
        <w:t xml:space="preserve"> – Sprawozdanie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Generator RC to urządzenie tworzące drgania stosowane do wytwarzania przebiegów sinusoidalnych. Zbudowane jest ze wzmacniacza i rezystorów oraz kondensatorów tworzących sprzężenie zwrotne.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Badanie polega na odmierzaniu czasu oddzielającego następujące błyśnięcia neonówki. Neonówka jest podłączona do ciągle ładowanego kondensatora. Kiedy napięcie osiągnie odpowiednią wartość neonówka zaświeci się rozładowując kondensator. Możemy wpływać na ur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ządzenie zmieniając szybkość ładowania kondensatora za pomocą oporności obwodu (R) oraz jego pojemność (C). Napięcie regulowane było za pomocą woltomierza.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center"/>
        <w:spacing w:before="240" w:after="0" w:line="57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495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644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600450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3.5pt;height:117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Celem ćwiczenia jest zbadanie zależności okresu drgań relaksacyjnych od rezystancji obwodu R, pojemności kondensatora C oraz od napięcia zasilania U.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center"/>
        <w:spacing w:before="240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2876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46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29050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1.5pt;height:226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before="240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Przykładowy pomiar oscyloskopu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T1 – Czas wystąpienia pierwszego skoku napięciowego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T2 – Czas wystąpienia drugiego skoku napięciowego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 – Czas pomiędzy jednym skokiem a drugim (T=T2-T1)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Pomiary dokonywane były za pomocą oscyloskopu. Mierzyliśmy cykl wystąpienia dwóch kolejnych skoków napięć, następnie odejmowaliśmy jeden czas od drugiego aby obliczyć w jakim okresie kondensator osiąga wartość zapalającą neonówkę. Odstęp czasowy pomiędzy 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olejnymi błyśnięciami żarówki był zbyt mały abyśmy mogli odmierzać czas stoperem z akceptowalną dokładnością.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Zad. 6:</w:t>
      </w:r>
      <w:r>
        <w:rPr>
          <w:rFonts w:ascii="Times New Roman" w:hAnsi="Times New Roman" w:cs="Times New Roman"/>
          <w:sz w:val="28"/>
          <w:szCs w:val="28"/>
        </w:rPr>
        <w:t xml:space="preserve"> Wykres zależności okresu drgań T od pojemności C w skali logarytmiczno-logarytmicznej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3582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295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19" cy="335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3.6pt;height:264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Zad 8:</w:t>
      </w:r>
      <w:r>
        <w:rPr>
          <w:rFonts w:ascii="Times New Roman" w:hAnsi="Times New Roman" w:cs="Times New Roman"/>
          <w:sz w:val="28"/>
          <w:szCs w:val="28"/>
        </w:rPr>
        <w:t xml:space="preserve"> Metodą regresji liniowej obliczyć współczynnik prostej </w:t>
      </w:r>
      <w:r>
        <w:rPr>
          <w:rFonts w:ascii="Times New Roman" w:hAnsi="Times New Roman" w:cs="Times New Roman"/>
          <w:sz w:val="28"/>
          <w:szCs w:val="28"/>
        </w:rPr>
        <w:t xml:space="preserve">T = f</w:t>
      </w:r>
      <w:r>
        <w:rPr>
          <w:rFonts w:ascii="Times New Roman" w:hAnsi="Times New Roman" w:cs="Times New Roman"/>
          <w:sz w:val="28"/>
          <w:szCs w:val="28"/>
        </w:rPr>
        <w:t xml:space="preserve">(C) wraz z </w:t>
      </w:r>
      <w:r>
        <w:rPr>
          <w:rFonts w:ascii="Times New Roman" w:hAnsi="Times New Roman" w:cs="Times New Roman"/>
          <w:sz w:val="28"/>
          <w:szCs w:val="28"/>
        </w:rPr>
        <w:t xml:space="preserve">niepewnościami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240" w:after="0" w:line="57" w:lineRule="atLeast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Wartości obliczone za pomocą funkcji Reglinp w arkuszu kalkulacyjnym:</w:t>
        <w:br/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>
        <w:trPr/>
        <w:tc>
          <w:tcPr>
            <w:gridSpan w:val="2"/>
            <w:tcW w:w="928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Regresja liniowa T = f(C)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1146903,38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s/F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0,015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u(a)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3586,36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s/F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u(b)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0,0016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  <w:t xml:space="preserve">0,99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0,0023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Zad. 9:</w:t>
      </w:r>
      <w:r>
        <w:rPr>
          <w:rFonts w:ascii="Times New Roman" w:hAnsi="Times New Roman" w:cs="Times New Roman"/>
          <w:sz w:val="28"/>
          <w:szCs w:val="28"/>
        </w:rPr>
        <w:t xml:space="preserve"> Obliczyć teoretyczną wartość współczynnika nachylenia otrzymanej prostej na podstawie wzoru teoretycznego.</w:t>
      </w:r>
      <w:r>
        <w:rPr>
          <w:rFonts w:ascii="Times New Roman" w:hAnsi="Times New Roman" w:cs="Times New Roman"/>
          <w:sz w:val="28"/>
          <w:szCs w:val="28"/>
          <w:lang w:eastAsia="pl-PL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20705" cy="110689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174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20704" cy="1106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30.0pt;height:87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Zad. 10:</w:t>
      </w:r>
      <w:r>
        <w:rPr>
          <w:rFonts w:ascii="Times New Roman" w:hAnsi="Times New Roman" w:cs="Times New Roman"/>
          <w:sz w:val="28"/>
          <w:szCs w:val="28"/>
        </w:rPr>
        <w:t xml:space="preserve"> Wykonać test zgodności wartości współczynnika nachylenia, wyznaczonego z regresji liniowej oraz wyznaczonego ze wzoru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- wartości współczynnika nachylenia wyznaczonego z regresji liniowej</w:t>
        <w:br/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- wartości współczynnika nachylenia wyznaczonego ze wzoru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eastAsia="pl-PL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0805" cy="54211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516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20804" cy="542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3.0pt;height:426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eastAsia="pl-PL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pl-PL"/>
        </w:rPr>
        <w:t xml:space="preserve">Współczynniki a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eastAsia="pl-PL"/>
        </w:rPr>
        <w:t xml:space="preserve">1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 i a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eastAsia="pl-PL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 nie są ze sobą zgodne</w:t>
      </w:r>
      <w:r>
        <w:rPr>
          <w:rFonts w:ascii="Times New Roman" w:hAnsi="Times New Roman" w:cs="Times New Roman"/>
          <w:sz w:val="28"/>
          <w:szCs w:val="28"/>
          <w:vertAlign w:val="baseli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vertAlign w:val="baseline"/>
        </w:rPr>
      </w:pPr>
      <w:r>
        <w:rPr>
          <w:rFonts w:ascii="Times New Roman" w:hAnsi="Times New Roman" w:cs="Times New Roman"/>
          <w:sz w:val="28"/>
          <w:szCs w:val="28"/>
          <w:vertAlign w:val="baseline"/>
        </w:rPr>
        <w:br w:type="page" w:clear="all"/>
      </w:r>
      <w:r>
        <w:rPr>
          <w:rFonts w:ascii="Times New Roman" w:hAnsi="Times New Roman" w:cs="Times New Roman"/>
          <w:sz w:val="28"/>
          <w:szCs w:val="28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Wnioski: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vertAlign w:val="baseline"/>
        </w:rPr>
      </w:r>
    </w:p>
    <w:p>
      <w:pPr>
        <w:jc w:val="left"/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Nasze pomiary dopasowały się do linii trendu wyznaczonej za pomocą regresji liniowej na co  wskazuje wykres oraz R2 bliski wartości 1.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</w:p>
    <w:p>
      <w:pPr>
        <w:jc w:val="left"/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Niestety nasze wyniki nie były zgodne z oczekiwanymi, na co wskazuje porównanie wyników zmierzonych i teoretycznych uzyskanych ze wzoru: </w:t>
        <w:br/>
        <w:t xml:space="preserve">|x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eastAsia="pl-PL"/>
        </w:rPr>
        <w:t xml:space="preserve">1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 − x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eastAsia="pl-PL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| &lt; U(x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eastAsia="pl-PL"/>
        </w:rPr>
        <w:t xml:space="preserve">1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 − x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  <w:lang w:eastAsia="pl-PL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</w:p>
    <w:p>
      <w:pPr>
        <w:jc w:val="left"/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Z braku doświadczenia oraz problemów ze znalezieniem stanowiska nie udało nam się wykonać poprawnie wszystkich zadań, ale za to nauczyliśmy się obsługi oscyloskopu i wyciągnęliśmy cenne wnioski.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</w:p>
    <w:p>
      <w:pPr>
        <w:jc w:val="left"/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</w:p>
    <w:p>
      <w:pPr>
        <w:jc w:val="left"/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Źródła:</w:t>
        <w:br/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https://images.app.goo.gl/WZH3aDjzFpDL4nA2A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br/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t xml:space="preserve">https://pl.m.wikipedia.org/wiki/Generator_RC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  <w:br/>
        <w:t xml:space="preserve">Instrukcja doświadczenia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eastAsia="pl-PL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Balloon Text"/>
    <w:basedOn w:val="814"/>
    <w:link w:val="81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19" w:customStyle="1">
    <w:name w:val="Tekst dymka Znak"/>
    <w:basedOn w:val="815"/>
    <w:link w:val="81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Ministrerstwo Edukacji Narodowej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Dragon</dc:creator>
  <cp:keywords/>
  <dc:description/>
  <cp:revision>5</cp:revision>
  <dcterms:created xsi:type="dcterms:W3CDTF">2023-03-21T13:53:00Z</dcterms:created>
  <dcterms:modified xsi:type="dcterms:W3CDTF">2023-03-28T19:57:22Z</dcterms:modified>
</cp:coreProperties>
</file>