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3D5C"/>
          <w:sz w:val="38"/>
        </w:rPr>
        <w:t>Alpha Morgan Bank — Critical Document Pack</w:t>
      </w:r>
    </w:p>
    <w:p>
      <w:pPr>
        <w:spacing w:after="120"/>
      </w:pPr>
      <w:r>
        <w:rPr>
          <w:b/>
        </w:rPr>
        <w:t>Paylode Services Limited</w:t>
      </w:r>
      <w:r>
        <w:t xml:space="preserve"> · Assessment reference </w:t>
      </w:r>
      <w:r>
        <w:rPr>
          <w:b/>
        </w:rPr>
        <w:t>AMB-ISO-VRQ-019</w:t>
      </w:r>
    </w:p>
    <w:p>
      <w:pPr>
        <w:spacing w:after="120"/>
      </w:pPr>
      <w:r>
        <w:t xml:space="preserve">Classification: </w:t>
      </w:r>
      <w:r>
        <w:rPr>
          <w:b/>
        </w:rPr>
        <w:t>CONFIDENTIAL</w:t>
      </w:r>
      <w:r>
        <w:t xml:space="preserve"> — Alpha Morgan Bank and Paylode Services Limited only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Questionnaire coverage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Network Architecture Diagram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01-Network-Architecture-Diagram.docx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B, 3.1–3.6, 6.2, 9.2, 12.3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Incident Response and Business Continuity Policy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02-Incident-Response-and-BCP-Policy.docx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11.1–11.6, 12.1–12.7, 10.5, 10.6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Virtual Account and Payout Security Controls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03-VA-and-Payout-Security-Controls.docx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Domain 16 in full, 6.5, 13.9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Data Protection and NDPA Policy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04-Data-Protection-and-NDPA-Policy.docx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13.1–13.10, Section B, Section F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Vulnerability Management Report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05-Vulnerability-Management-Report.docx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8.1–8.6, 5.4, 4.6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CBN Risk-Based Cybersecurity Framework Gap Assessment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06-CBN-CSF-Gap-Assessment.docx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C, 1.1–1.7, 10.1–10.7</w:t>
            </w:r>
          </w:p>
        </w:tc>
      </w:tr>
    </w:tbl>
    <w:p/>
    <w:p>
      <w:pPr>
        <w:spacing w:after="120"/>
      </w:pPr>
      <w:r>
        <w:t xml:space="preserve">Each document is supplied as </w:t>
      </w:r>
      <w:r>
        <w:rPr>
          <w:b/>
        </w:rPr>
        <w:t>Word (.docx)</w:t>
      </w:r>
      <w:r>
        <w:t xml:space="preserve"> for submission and as **Markdown</w:t>
      </w:r>
    </w:p>
    <w:p>
      <w:pPr>
        <w:spacing w:after="120"/>
      </w:pPr>
      <w:r>
        <w:t xml:space="preserve">(.md)** as the editable source. Diagrams are in </w:t>
      </w:r>
      <w:r>
        <w:rPr>
          <w:rFonts w:ascii="Consolas" w:hAnsi="Consolas"/>
          <w:sz w:val="18"/>
        </w:rPr>
        <w:t>figures/</w:t>
      </w:r>
      <w:r>
        <w:t xml:space="preserve"> as both PNG (embedded in</w:t>
      </w:r>
    </w:p>
    <w:p>
      <w:pPr>
        <w:spacing w:after="120"/>
      </w:pPr>
      <w:r>
        <w:t>the Word files) and SVG (vector, for re-editing or high-resolution print).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Appears in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Shows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fig1-network.png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 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Production network topology, two-tier split, loopback-bound data stores, single Bank egress address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fig2-boundaries.png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 1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The seven trust boundaries and the control applied at each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fig3-payout.png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 3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gate a disbursement passes, including the ambiguous-response path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fig4-va.png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 3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Virtual account provisioning and collection flow with signature and idempotency controls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fig5-ir.png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 2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Incident severity bands, lifecycle and notification clocks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Fields to complete before submission</w:t>
      </w:r>
    </w:p>
    <w:p>
      <w:pPr>
        <w:spacing w:after="120"/>
      </w:pPr>
      <w:r>
        <w:t xml:space="preserve">Every </w:t>
      </w:r>
      <w:r>
        <w:rPr>
          <w:rFonts w:ascii="Consolas" w:hAnsi="Consolas"/>
          <w:sz w:val="18"/>
        </w:rPr>
        <w:t>[          ]</w:t>
      </w:r>
      <w:r>
        <w:t xml:space="preserve"> in the documents is a field for Paylode to fill. The</w:t>
      </w:r>
    </w:p>
    <w:p>
      <w:pPr>
        <w:spacing w:after="120"/>
      </w:pPr>
      <w:r>
        <w:t>substantive 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All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Prepared by, reviewed by, approved by, dates, signature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None beyond document control — the technical content is complete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Incident contact card (§4.1); current attainment against recovery objectives (§13); exercise and restore-test dates; uptime SLA and service credits (§19)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Volume and value projections (§7); attach the Bank mandate evidencing fund segregation (§3.4)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NDPC registration and DPCA references (§2); processing locations and transfer mechanisms (§9); sub-processor locations and safeguards (§10)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Reporting period, remediation target dates, commit reference, VAPT engagement record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rating cell, the summary counts (§2), and the prioritised remediation plan (§10)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Two points worth noting</w:t>
      </w:r>
    </w:p>
    <w:p>
      <w:pPr>
        <w:spacing w:after="120"/>
      </w:pPr>
      <w:r>
        <w:rPr>
          <w:b/>
        </w:rPr>
        <w:t>Document 5 contains real scan results, not a template.</w:t>
      </w:r>
      <w:r>
        <w:t xml:space="preserve"> The seven findings were</w:t>
      </w:r>
    </w:p>
    <w:p>
      <w:pPr>
        <w:spacing w:after="120"/>
      </w:pPr>
      <w:r>
        <w:t>produced by an actual software composition analysis of the committed backend</w:t>
      </w:r>
    </w:p>
    <w:p>
      <w:pPr>
        <w:spacing w:after="120"/>
      </w:pPr>
      <w:r>
        <w:t>dependency lockfile: 0 critical, 3 high, 4 moderate across 327 dependencies. The</w:t>
      </w:r>
    </w:p>
    <w:p>
      <w:pPr>
        <w:spacing w:after="120"/>
      </w:pPr>
      <w:r>
        <w:t>contextual risk assessment in §3 reflects how each vulnerable package is actually</w:t>
      </w:r>
    </w:p>
    <w:p>
      <w:pPr>
        <w:spacing w:after="120"/>
      </w:pPr>
      <w:r>
        <w:t>reached in the deployed platform. Re-run the scan before submission so the figures</w:t>
      </w:r>
    </w:p>
    <w:p>
      <w:pPr>
        <w:spacing w:after="120"/>
      </w:pPr>
      <w:r>
        <w:t>match the commit you are shipping, and update the scan date.</w:t>
      </w:r>
    </w:p>
    <w:p>
      <w:pPr>
        <w:spacing w:after="120"/>
      </w:pPr>
      <w:r>
        <w:rPr>
          <w:b/>
        </w:rPr>
        <w:t>Document 6 is a self-assessment.</w:t>
      </w:r>
      <w:r>
        <w:t xml:space="preserve"> It is structured to the framework's seven</w:t>
      </w:r>
    </w:p>
    <w:p>
      <w:pPr>
        <w:spacing w:after="120"/>
      </w:pPr>
      <w:r>
        <w:t>parts and is honest about that status — an assessment carries more weight with a</w:t>
      </w:r>
    </w:p>
    <w:p>
      <w:pPr>
        <w:spacing w:after="120"/>
      </w:pPr>
      <w:r>
        <w:t>bank once an independent assessor has validated it. The part numbering should be</w:t>
      </w:r>
    </w:p>
    <w:p>
      <w:pPr>
        <w:spacing w:after="120"/>
      </w:pPr>
      <w:r>
        <w:t>confirmed against the current CBN circular before the document is relied upon</w:t>
      </w:r>
    </w:p>
    <w:p>
      <w:pPr>
        <w:spacing w:after="120"/>
      </w:pPr>
      <w:r>
        <w:t>externally.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Paylode Services Limited — CONFIDENTIAL — prepared for Alpha Morgan Bank (AMB-ISO-VRQ-019)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