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Network Architecture Diagram</w:t>
      </w:r>
    </w:p>
    <w:p>
      <w:pPr>
        <w:spacing w:after="120"/>
      </w:pPr>
      <w:r>
        <w:rPr>
          <w:b/>
        </w:rPr>
        <w:t>Paylode Services Limited</w:t>
      </w:r>
      <w:r>
        <w:t xml:space="preserve"> · CBN-licensed Payment Solution Service Provider</w:t>
      </w:r>
    </w:p>
    <w:p>
      <w:pPr>
        <w:spacing w:after="120"/>
      </w:pPr>
      <w:r>
        <w:t xml:space="preserve">Prepared for: </w:t>
      </w:r>
      <w:r>
        <w:rPr>
          <w:b/>
        </w:rPr>
        <w:t>Alpha Morgan Bank — Information Security Division</w:t>
      </w:r>
    </w:p>
    <w:p>
      <w:pPr>
        <w:spacing w:after="120"/>
      </w:pPr>
      <w:r>
        <w:t xml:space="preserve">Assessment reference: </w:t>
      </w:r>
      <w:r>
        <w:rPr>
          <w:b/>
        </w:rPr>
        <w:t>AMB-ISO-VRQ-019</w:t>
      </w:r>
      <w:r>
        <w:t xml:space="preserve"> · Classification: </w:t>
      </w:r>
      <w:r>
        <w:rPr>
          <w:b/>
        </w:rPr>
        <w:t>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PSL-EV-01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Addresses questionnaire items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B (architecture diagram), 3.1, 3.2, 3.4, 3.5, 3.6, 6.2, 9.2, 12.3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1. Purpose</w:t>
      </w:r>
    </w:p>
    <w:p>
      <w:pPr>
        <w:spacing w:after="120"/>
      </w:pPr>
      <w:r>
        <w:t>This document sets out the production network architecture of the Paylode payment</w:t>
      </w:r>
    </w:p>
    <w:p>
      <w:pPr>
        <w:spacing w:after="120"/>
      </w:pPr>
      <w:r>
        <w:t>platform, the trust boundaries within it, and the specific network parameters</w:t>
      </w:r>
    </w:p>
    <w:p>
      <w:pPr>
        <w:spacing w:after="120"/>
      </w:pPr>
      <w:r>
        <w:t>Alpha Morgan Bank requires in order to provision the integration — in particular</w:t>
      </w:r>
    </w:p>
    <w:p>
      <w:pPr>
        <w:spacing w:after="120"/>
      </w:pPr>
      <w:r>
        <w:t>the fixed source IP address for the Bank's ingress allow-list.</w:t>
      </w:r>
    </w:p>
    <w:p>
      <w:pPr>
        <w:pStyle w:val="Heading2"/>
      </w:pPr>
      <w:r/>
      <w:r>
        <w:rPr>
          <w:b/>
          <w:color w:val="0B3D5C"/>
          <w:sz w:val="28"/>
        </w:rPr>
        <w:t>2. Scope of the Bank integration</w:t>
      </w:r>
    </w:p>
    <w:p>
      <w:pPr>
        <w:spacing w:after="120"/>
      </w:pPr>
      <w:r>
        <w:t>Alpha Morgan Bank is proposed as a provider of two services to Paylode:</w:t>
      </w:r>
    </w:p>
    <w:p>
      <w:pPr>
        <w:pStyle w:val="ListBullet"/>
        <w:spacing w:after="40"/>
      </w:pPr>
      <w:r>
        <w:rPr>
          <w:b/>
        </w:rPr>
        <w:t>Virtual account issuance</w:t>
      </w:r>
      <w:r>
        <w:t xml:space="preserve"> — dedicated, uniquely identifiable accounts issued to</w:t>
      </w:r>
    </w:p>
    <w:p>
      <w:pPr>
        <w:spacing w:after="120"/>
      </w:pPr>
      <w:r>
        <w:t>Paylode's customers for collections, settling into a designated Paylode</w:t>
      </w:r>
    </w:p>
    <w:p>
      <w:pPr>
        <w:spacing w:after="120"/>
      </w:pPr>
      <w:r>
        <w:t>collection account at the Bank.</w:t>
      </w:r>
    </w:p>
    <w:p>
      <w:pPr>
        <w:pStyle w:val="ListBullet"/>
        <w:spacing w:after="40"/>
      </w:pPr>
      <w:r>
        <w:rPr>
          <w:b/>
        </w:rPr>
        <w:t>A payout channel</w:t>
      </w:r>
      <w:r>
        <w:t xml:space="preserve"> — enabling Paylode to initiate disbursements to its customers</w:t>
      </w:r>
    </w:p>
    <w:p>
      <w:pPr>
        <w:spacing w:after="120"/>
      </w:pPr>
      <w:r>
        <w:t>through the Bank's payment infrastructure.</w:t>
      </w:r>
    </w:p>
    <w:p>
      <w:pPr>
        <w:spacing w:after="120"/>
      </w:pPr>
      <w:r>
        <w:t xml:space="preserve">The integration is </w:t>
      </w:r>
      <w:r>
        <w:rPr>
          <w:b/>
        </w:rPr>
        <w:t>API only</w:t>
      </w:r>
      <w:r>
        <w:t>. Paylode does not require a direct database</w:t>
      </w:r>
    </w:p>
    <w:p>
      <w:pPr>
        <w:spacing w:after="120"/>
      </w:pPr>
      <w:r>
        <w:t>connection, a file-transfer channel, an SDK or widget deployment, or access to any</w:t>
      </w:r>
    </w:p>
    <w:p>
      <w:pPr>
        <w:spacing w:after="120"/>
      </w:pPr>
      <w:r>
        <w:t>Bank system beyond the two published APIs.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3. Production network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293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9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 — Paylode production network architecture, showing the two-tier split, the data stores bound to loopback, and the single egress address used for all Bank traffic.</w:t>
      </w:r>
    </w:p>
    <w:p>
      <w:pPr>
        <w:pStyle w:val="Heading3"/>
      </w:pPr>
      <w:r/>
      <w:r>
        <w:rPr>
          <w:b/>
          <w:color w:val="0B3D5C"/>
          <w:sz w:val="24"/>
        </w:rPr>
        <w:t>3.1 Tier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Host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Exposure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Runs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Edge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Cloudflare (anycast)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Public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TLS termination, CDN, DDoS absorption, WAF, DNS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45.141.122.223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Internet-facing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nginx serving static content; reverse proxy of </w:t>
            </w:r>
            <w:r>
              <w:rPr>
                <w:rFonts w:ascii="Consolas" w:hAnsi="Consolas"/>
                <w:sz w:val="18"/>
              </w:rPr>
              <w:t>/api/</w:t>
            </w:r>
            <w:r>
              <w:rPr>
                <w:sz w:val="18"/>
              </w:rPr>
              <w:t xml:space="preserve"> to the application tier. </w:t>
            </w:r>
            <w:r>
              <w:rPr>
                <w:b/>
                <w:sz w:val="18"/>
              </w:rPr>
              <w:t>No application code. No database.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Application + data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176.57.188.45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Not published for web traffic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nginx path router on </w:t>
            </w:r>
            <w:r>
              <w:rPr>
                <w:rFonts w:ascii="Consolas" w:hAnsi="Consolas"/>
                <w:sz w:val="18"/>
              </w:rPr>
              <w:t>:3000</w:t>
            </w:r>
            <w:r>
              <w:rPr>
                <w:sz w:val="18"/>
              </w:rPr>
              <w:t>; four pm2 services; two workers; PostgreSQL; Redis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3.2 Application tier 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paylode-core</w:t>
            </w:r>
            <w:r>
              <w:rPr>
                <w:sz w:val="18"/>
              </w:rPr>
              <w:t xml:space="preserve"> (pm2 cluster ×2)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3001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Money core — collections, payouts, settlement, reconciliation, KYC, administration. </w:t>
            </w:r>
            <w:r>
              <w:rPr>
                <w:b/>
                <w:sz w:val="18"/>
              </w:rPr>
              <w:t>The Bank integration runs here.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paylode-invoicing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3101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Invoicing product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paylode-wallet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3102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Closed-loop member wallet product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paylode-assistant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3103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In-product support assistant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webhook-worker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Outbound signed webhook delivery with retry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invoicing-worker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Asynchronous invoicing jobs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5432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Transactional record, ledger, audit log — </w:t>
            </w:r>
            <w:r>
              <w:rPr>
                <w:b/>
                <w:sz w:val="18"/>
              </w:rPr>
              <w:t>bound to `127.0.0.1`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Redis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6379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BullMQ delivery queues — </w:t>
            </w:r>
            <w:r>
              <w:rPr>
                <w:b/>
                <w:sz w:val="18"/>
              </w:rPr>
              <w:t>bound to `127.0.0.1`</w:t>
            </w:r>
          </w:p>
        </w:tc>
      </w:tr>
    </w:tbl>
    <w:p/>
    <w:p>
      <w:pPr>
        <w:spacing w:after="120"/>
      </w:pPr>
      <w:r>
        <w:t>A single nginx router presents one public port and path-routes to each service, so</w:t>
      </w:r>
    </w:p>
    <w:p>
      <w:pPr>
        <w:spacing w:after="120"/>
      </w:pPr>
      <w:r>
        <w:t>the public URL surface is identical regardless of how the platform is decomposed</w:t>
      </w:r>
    </w:p>
    <w:p>
      <w:pPr>
        <w:spacing w:after="120"/>
      </w:pPr>
      <w:r>
        <w:t>internally. All four services are built from one shared middleware factory, which</w:t>
      </w:r>
    </w:p>
    <w:p>
      <w:pPr>
        <w:spacing w:after="120"/>
      </w:pPr>
      <w:r>
        <w:t>means security headers, CORS policy and rate limits **cannot drift between</w:t>
      </w:r>
    </w:p>
    <w:p>
      <w:pPr>
        <w:spacing w:after="120"/>
      </w:pPr>
      <w:r>
        <w:t>services**.</w:t>
      </w:r>
    </w:p>
    <w:p>
      <w:pPr>
        <w:pStyle w:val="Heading3"/>
      </w:pPr>
      <w:r/>
      <w:r>
        <w:rPr>
          <w:b/>
          <w:color w:val="0B3D5C"/>
          <w:sz w:val="24"/>
        </w:rPr>
        <w:t>3.3 Resilience properties relevant to the Bank</w:t>
      </w:r>
    </w:p>
    <w:p>
      <w:pPr>
        <w:pStyle w:val="ListBullet"/>
        <w:spacing w:after="40"/>
      </w:pPr>
      <w:r>
        <w:t xml:space="preserve">A module that fails to load is reported at </w:t>
      </w:r>
      <w:r>
        <w:rPr>
          <w:rFonts w:ascii="Consolas" w:hAnsi="Consolas"/>
          <w:sz w:val="18"/>
        </w:rPr>
        <w:t>/health/modules</w:t>
      </w:r>
      <w:r>
        <w:t xml:space="preserve"> and the platform</w:t>
      </w:r>
    </w:p>
    <w:p>
      <w:pPr>
        <w:spacing w:after="120"/>
      </w:pPr>
      <w:r>
        <w:t xml:space="preserve">continues in a </w:t>
      </w:r>
      <w:r>
        <w:rPr>
          <w:b/>
        </w:rPr>
        <w:t>degraded</w:t>
      </w:r>
      <w:r>
        <w:t xml:space="preserve"> state rather than failing entirely.</w:t>
      </w:r>
    </w:p>
    <w:p>
      <w:pPr>
        <w:pStyle w:val="ListBullet"/>
        <w:spacing w:after="40"/>
      </w:pPr>
      <w:r>
        <w:t>A product-service failure (invoicing, wallet, assistant) **cannot interrupt the</w:t>
      </w:r>
    </w:p>
    <w:p>
      <w:pPr>
        <w:spacing w:after="120"/>
      </w:pPr>
      <w:r>
        <w:t>money core**, because they are separate operating-system processes.</w:t>
      </w:r>
    </w:p>
    <w:p>
      <w:pPr>
        <w:pStyle w:val="ListBullet"/>
        <w:spacing w:after="40"/>
      </w:pPr>
      <w:r>
        <w:t xml:space="preserve">Payout routing automatically excludes any rail not marked </w:t>
      </w:r>
      <w:r>
        <w:rPr>
          <w:rFonts w:ascii="Consolas" w:hAnsi="Consolas"/>
          <w:sz w:val="18"/>
        </w:rPr>
        <w:t>LIVE</w:t>
      </w:r>
      <w:r>
        <w:t>, so a single</w:t>
      </w:r>
    </w:p>
    <w:p>
      <w:pPr>
        <w:spacing w:after="120"/>
      </w:pPr>
      <w:r>
        <w:t>rail outage does not stop disbursement. Paylode therefore does not present a</w:t>
      </w:r>
    </w:p>
    <w:p>
      <w:pPr>
        <w:spacing w:after="120"/>
      </w:pPr>
      <w:r>
        <w:t>single-rail dependency risk to the Bank, and conversely a Bank-side outage does</w:t>
      </w:r>
    </w:p>
    <w:p>
      <w:pPr>
        <w:spacing w:after="120"/>
      </w:pPr>
      <w:r>
        <w:t>not queue Paylode indefinitely.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4. Trust boundaries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2931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bounda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 — Trust boundaries and the control applied at each crossing.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5. Fixed IP addresses for Bank whitelisting</w:t>
      </w:r>
    </w:p>
    <w:p>
      <w:pPr>
        <w:spacing w:after="120"/>
      </w:pPr>
      <w:r>
        <w:t xml:space="preserve">This section answers questionnaire item </w:t>
      </w:r>
      <w:r>
        <w:rPr>
          <w:b/>
        </w:rPr>
        <w:t>3.6</w:t>
      </w:r>
      <w:r>
        <w:t xml:space="preserve"> and constitutes the written</w:t>
      </w:r>
    </w:p>
    <w:p>
      <w:pPr>
        <w:spacing w:after="120"/>
      </w:pPr>
      <w:r>
        <w:t>confirmation the item requests.</w:t>
      </w:r>
    </w:p>
    <w:p>
      <w:pPr>
        <w:spacing w:after="120"/>
      </w:pPr>
      <w:r>
        <w:t xml:space="preserve">Paylode operates on </w:t>
      </w:r>
      <w:r>
        <w:rPr>
          <w:b/>
        </w:rPr>
        <w:t>static, dedicated IPv4 addresses</w:t>
      </w:r>
      <w:r>
        <w:t>. The infrastructure is not</w:t>
      </w:r>
    </w:p>
    <w:p>
      <w:pPr>
        <w:spacing w:after="120"/>
      </w:pPr>
      <w:r>
        <w:t>autoscaled and does not sit behind a shared NAT pool, so these addresses are</w:t>
      </w:r>
    </w:p>
    <w:p>
      <w:pPr>
        <w:spacing w:after="120"/>
      </w:pPr>
      <w:r>
        <w:t>stable.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Relative to the Bank</w:t>
            </w:r>
          </w:p>
        </w:tc>
        <w:tc>
          <w:tcPr>
            <w:tcW w:type="dxa" w:w="2556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Action required by the Bank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`176.57.188.45/32`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application host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only source of outbound API calls to Alpha Morgan Bank</w:t>
            </w:r>
            <w:r>
              <w:rPr>
                <w:sz w:val="18"/>
              </w:rPr>
              <w:t xml:space="preserve"> — VA creation, name enquiry, payout instruction, balance and statement queries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 to the Bank's API ingress allow-list</w:t>
            </w:r>
          </w:p>
        </w:tc>
      </w:tr>
      <w:tr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45.141.122.223/32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public web tier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Carries no Bank traffic</w:t>
            </w:r>
          </w:p>
        </w:tc>
        <w:tc>
          <w:tcPr>
            <w:tcW w:type="dxa" w:w="2556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None — listed for completeness</w:t>
            </w:r>
          </w:p>
        </w:tc>
      </w:tr>
    </w:tbl>
    <w:p/>
    <w:p>
      <w:pPr>
        <w:spacing w:after="120"/>
      </w:pPr>
      <w:r>
        <w:rPr>
          <w:b/>
        </w:rPr>
        <w:t>Inbound to Paylode.</w:t>
      </w:r>
      <w:r>
        <w:t xml:space="preserve"> Bank webhook callbacks are delivered over TLS to a</w:t>
      </w:r>
    </w:p>
    <w:p>
      <w:pPr>
        <w:spacing w:after="120"/>
      </w:pPr>
      <w:r>
        <w:t>published Paylode endpoint. Paylode will additionally restrict that endpoint to the</w:t>
      </w:r>
    </w:p>
    <w:p>
      <w:pPr>
        <w:spacing w:after="120"/>
      </w:pPr>
      <w:r>
        <w:t>Bank's own source range once the Bank supplies it; please include it in the</w:t>
      </w:r>
    </w:p>
    <w:p>
      <w:pPr>
        <w:spacing w:after="120"/>
      </w:pPr>
      <w:r>
        <w:t>integration pack.</w:t>
      </w:r>
    </w:p>
    <w:p>
      <w:pPr>
        <w:spacing w:after="120"/>
      </w:pPr>
      <w:r>
        <w:rPr>
          <w:b/>
        </w:rPr>
        <w:t>Change control.</w:t>
      </w:r>
      <w:r>
        <w:t xml:space="preserve"> Paylode will give Alpha Morgan Bank **not less than ten (10)</w:t>
      </w:r>
    </w:p>
    <w:p>
      <w:pPr>
        <w:spacing w:after="120"/>
      </w:pPr>
      <w:r>
        <w:t>business days' written notice** before any change to the source address above. An</w:t>
      </w:r>
    </w:p>
    <w:p>
      <w:pPr>
        <w:spacing w:after="120"/>
      </w:pPr>
      <w:r>
        <w:t>emergency change arising from host failure or disaster-recovery invocation will be</w:t>
      </w:r>
    </w:p>
    <w:p>
      <w:pPr>
        <w:spacing w:after="120"/>
      </w:pPr>
      <w:r>
        <w:t>notified immediately to the Bank's nominated contact.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6. Transport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Protection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to edge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TLS 1.2 minimum, TLS 1.3 preferred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Edge to web tier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HTTPS with a Let's Encrypt certificate, renewed automatically on a 90-day cycle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HTTP Strict Transport Security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max-age=31536000; includeSubDomains</w:t>
            </w:r>
            <w:r>
              <w:rPr>
                <w:sz w:val="18"/>
              </w:rPr>
              <w:t xml:space="preserve"> — one year, applied to every API response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Security Policy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default-src 'self'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script-src 'self'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img-src 'self' data: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Cross-origin policy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Explicit origin allow-list with a fixed method and header set — not a wildcard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to the Bank and to all partners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Outbound HTTPS, TLS 1.2 or above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to merchant endpoints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HTTPS with an HMAC-SHA512 signature in the </w:t>
            </w:r>
            <w:r>
              <w:rPr>
                <w:rFonts w:ascii="Consolas" w:hAnsi="Consolas"/>
                <w:sz w:val="18"/>
              </w:rPr>
              <w:t>X-Paylode-Signature</w:t>
            </w:r>
            <w:r>
              <w:rPr>
                <w:sz w:val="18"/>
              </w:rPr>
              <w:t xml:space="preserve"> header</w:t>
            </w:r>
          </w:p>
        </w:tc>
      </w:tr>
    </w:tbl>
    <w:p/>
    <w:p>
      <w:pPr>
        <w:spacing w:after="120"/>
      </w:pPr>
      <w:r>
        <w:rPr>
          <w:b/>
        </w:rPr>
        <w:t>Independent verification.</w:t>
      </w:r>
      <w:r>
        <w:t xml:space="preserve"> The Bank is invited to run its own TLS assessment</w:t>
      </w:r>
    </w:p>
    <w:p>
      <w:pPr>
        <w:spacing w:after="120"/>
      </w:pPr>
      <w:r>
        <w:t xml:space="preserve">against </w:t>
      </w:r>
      <w:r>
        <w:rPr>
          <w:rFonts w:ascii="Consolas" w:hAnsi="Consolas"/>
          <w:sz w:val="18"/>
        </w:rPr>
        <w:t>api.paylodeservices.com</w:t>
      </w:r>
      <w:r>
        <w:t>; Paylode will supply a current scan report on</w:t>
      </w:r>
    </w:p>
    <w:p>
      <w:pPr>
        <w:spacing w:after="120"/>
      </w:pPr>
      <w:r>
        <w:t>request.</w:t>
      </w:r>
    </w:p>
    <w:p>
      <w:pPr>
        <w:spacing w:after="120"/>
      </w:pPr>
      <w:r>
        <w:rPr>
          <w:b/>
        </w:rPr>
        <w:t>Available on the Bank's requirement.</w:t>
      </w:r>
      <w:r>
        <w:t xml:space="preserve"> Paylode will terminate </w:t>
      </w:r>
      <w:r>
        <w:rPr>
          <w:b/>
        </w:rPr>
        <w:t>mutual TLS</w:t>
      </w:r>
      <w:r>
        <w:t xml:space="preserve"> if</w:t>
      </w:r>
    </w:p>
    <w:p>
      <w:pPr>
        <w:spacing w:after="120"/>
      </w:pPr>
      <w:r>
        <w:t>the Bank issues client certificates, and will terminate an **IPSec or WireGuard</w:t>
      </w:r>
    </w:p>
    <w:p>
      <w:pPr>
        <w:spacing w:after="120"/>
      </w:pPr>
      <w:r>
        <w:t>tunnel** to the Bank in place of public-internet transport. Both are configuration</w:t>
      </w:r>
    </w:p>
    <w:p>
      <w:pPr>
        <w:spacing w:after="120"/>
      </w:pPr>
      <w:r>
        <w:t>changes on the application host rather than architectural changes, and Paylode</w:t>
      </w:r>
    </w:p>
    <w:p>
      <w:pPr>
        <w:spacing w:after="120"/>
      </w:pPr>
      <w:r>
        <w:t>offers them at no cost to the Bank.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7. Rate limiting and abuse control</w:t>
      </w:r>
    </w:p>
    <w:p>
      <w:pPr>
        <w:spacing w:after="120"/>
      </w:pPr>
      <w:r>
        <w:t>Enforced in the shared middleware layer and keyed on the true client address (the</w:t>
      </w:r>
    </w:p>
    <w:p>
      <w:pPr>
        <w:spacing w:after="120"/>
      </w:pPr>
      <w:r>
        <w:t>proxy chain is trusted to exactly one hop, so the forwarded client IP is used</w:t>
      </w:r>
    </w:p>
    <w:p>
      <w:pPr>
        <w:spacing w:after="120"/>
      </w:pPr>
      <w:r>
        <w:t>rather than the proxy's).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Window</w:t>
            </w:r>
          </w:p>
        </w:tc>
        <w:tc>
          <w:tcPr>
            <w:tcW w:type="dxa" w:w="3408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/api/*</w:t>
            </w:r>
            <w:r>
              <w:rPr>
                <w:sz w:val="18"/>
              </w:rPr>
              <w:t xml:space="preserve"> requests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100 requests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/api/v1/auth/login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15 minutes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 attempts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/api/v1/onboarding/submit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60 minutes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10 submissions</w:t>
            </w:r>
          </w:p>
        </w:tc>
      </w:tr>
      <w:tr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 body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 request</w:t>
            </w:r>
          </w:p>
        </w:tc>
        <w:tc>
          <w:tcPr>
            <w:tcW w:type="dxa" w:w="3408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 MB (50 MB only on the onboarding document endpoint)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File upload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per file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</w:r>
            <w:r>
              <w:rPr>
                <w:sz w:val="18"/>
              </w:rPr>
              <w:t>5 MB</w:t>
            </w:r>
          </w:p>
        </w:tc>
      </w:tr>
    </w:tbl>
    <w:p/>
    <w:p>
      <w:pPr>
        <w:spacing w:after="120"/>
      </w:pPr>
      <w:r>
        <w:rPr>
          <w:b/>
        </w:rPr>
        <w:t>A dedicated allowance will be configured for the Bank's callback source</w:t>
      </w:r>
      <w:r>
        <w:t xml:space="preserve"> so that</w:t>
      </w:r>
    </w:p>
    <w:p>
      <w:pPr>
        <w:spacing w:after="120"/>
      </w:pPr>
      <w:r>
        <w:t>a legitimate settlement-day burst of collection notifications is never throttled.</w:t>
      </w:r>
    </w:p>
    <w:p>
      <w:pPr>
        <w:spacing w:after="120"/>
      </w:pPr>
      <w:r>
        <w:t xml:space="preserve">Paylode proposes </w:t>
      </w:r>
      <w:r>
        <w:rPr>
          <w:b/>
        </w:rPr>
        <w:t>600 requests per minute</w:t>
      </w:r>
      <w:r>
        <w:t xml:space="preserve"> on the Bank webhook path; please</w:t>
      </w:r>
    </w:p>
    <w:p>
      <w:pPr>
        <w:spacing w:after="120"/>
      </w:pPr>
      <w:r>
        <w:t>confirm the Bank's expected peak notification rate so this can be set correctly</w:t>
      </w:r>
    </w:p>
    <w:p>
      <w:pPr>
        <w:spacing w:after="120"/>
      </w:pPr>
      <w:r>
        <w:t>before go-live.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8. Site topology and disaster recovery</w:t>
      </w:r>
    </w:p>
    <w:p>
      <w:pPr>
        <w:spacing w:after="120"/>
      </w:pPr>
      <w:r>
        <w:t xml:space="preserve">The primary site is the application host </w:t>
      </w:r>
      <w:r>
        <w:rPr>
          <w:rFonts w:ascii="Consolas" w:hAnsi="Consolas"/>
          <w:sz w:val="18"/>
        </w:rPr>
        <w:t>176.57.188.45</w:t>
      </w:r>
      <w:r>
        <w:t>. The web tier is</w:t>
      </w:r>
    </w:p>
    <w:p>
      <w:pPr>
        <w:spacing w:after="120"/>
      </w:pPr>
      <w:r>
        <w:t>configured as a Cloudflare failover origin for static content.</w:t>
      </w:r>
    </w:p>
    <w:p>
      <w:pPr>
        <w:spacing w:after="120"/>
      </w:pPr>
      <w:r>
        <w:t>Paylode's target architecture places a standby host in a **separate region from the</w:t>
      </w:r>
    </w:p>
    <w:p>
      <w:pPr>
        <w:spacing w:after="120"/>
      </w:pPr>
      <w:r>
        <w:t>primary**, carrying a PostgreSQL streaming replica and a warm application stack,</w:t>
      </w:r>
    </w:p>
    <w:p>
      <w:pPr>
        <w:spacing w:after="120"/>
      </w:pPr>
      <w:r>
        <w:t>with encrypted off-site backups held on infrastructure independent of both</w:t>
      </w:r>
    </w:p>
    <w:p>
      <w:pPr>
        <w:spacing w:after="120"/>
      </w:pPr>
      <w:r>
        <w:t>production hosts. The recovery objectives associated with that architecture, and</w:t>
      </w:r>
    </w:p>
    <w:p>
      <w:pPr>
        <w:spacing w:after="120"/>
      </w:pPr>
      <w:r>
        <w:t>the current position, are set out in document **PSL-EV-02 — Incident Response and</w:t>
      </w:r>
    </w:p>
    <w:p>
      <w:pPr>
        <w:spacing w:after="120"/>
      </w:pPr>
      <w:r>
        <w:t>Business Continuity Policy**, section 8.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9.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Prepared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issue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Next review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sectPr w:rsidR="00FC693F" w:rsidRPr="0006063C" w:rsidSect="00034616">
      <w:footerReference w:type="default" r:id="rId11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