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B3D5C"/>
          <w:sz w:val="38"/>
        </w:rPr>
        <w:t>Virtual Account and Payout Security Controls</w:t>
      </w:r>
    </w:p>
    <w:p>
      <w:pPr>
        <w:spacing w:after="120"/>
      </w:pPr>
      <w:r>
        <w:rPr>
          <w:b/>
        </w:rPr>
        <w:t>Paylode Services Limited</w:t>
      </w:r>
      <w:r>
        <w:t xml:space="preserve"> · CBN-licensed Payment Solution Service Provider</w:t>
      </w:r>
    </w:p>
    <w:p>
      <w:pPr>
        <w:spacing w:after="120"/>
      </w:pPr>
      <w:r>
        <w:t xml:space="preserve">Prepared for: </w:t>
      </w:r>
      <w:r>
        <w:rPr>
          <w:b/>
        </w:rPr>
        <w:t>Alpha Morgan Bank — Information Security Division</w:t>
      </w:r>
    </w:p>
    <w:p>
      <w:pPr>
        <w:spacing w:after="120"/>
      </w:pPr>
      <w:r>
        <w:t xml:space="preserve">Assessment reference: </w:t>
      </w:r>
      <w:r>
        <w:rPr>
          <w:b/>
        </w:rPr>
        <w:t>AMB-ISO-VRQ-019</w:t>
      </w:r>
      <w:r>
        <w:t xml:space="preserve"> · Classification: </w:t>
      </w:r>
      <w:r>
        <w:rPr>
          <w:b/>
        </w:rPr>
        <w:t>CONFIDENTIAL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5112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Document ID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>PSL-EV-03</w:t>
            </w:r>
          </w:p>
        </w:tc>
      </w:tr>
      <w:tr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Version</w:t>
            </w:r>
          </w:p>
        </w:tc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1.0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Prepared by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      ]</w:t>
            </w:r>
          </w:p>
        </w:tc>
      </w:tr>
      <w:tr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Date</w:t>
            </w:r>
          </w:p>
        </w:tc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      ]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Addresses questionnaire items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>Domain 16 in full (16.1–16.10), 6.5, 6.9, 13.9</w:t>
            </w:r>
          </w:p>
        </w:tc>
      </w:tr>
    </w:tbl>
    <w:p/>
    <w:p>
      <w:pPr>
        <w:pBdr>
          <w:bottom w:val="single" w:sz="6" w:color="CBD5E1"/>
        </w:pBdr>
      </w:pPr>
    </w:p>
    <w:p>
      <w:pPr>
        <w:pStyle w:val="Heading2"/>
      </w:pPr>
      <w:r/>
      <w:r>
        <w:rPr>
          <w:b/>
          <w:color w:val="0B3D5C"/>
          <w:sz w:val="28"/>
        </w:rPr>
        <w:t>1. Purpose</w:t>
      </w:r>
    </w:p>
    <w:p>
      <w:pPr>
        <w:spacing w:after="120"/>
      </w:pPr>
      <w:r>
        <w:t>This document describes the controls Paylode applies to the two services it</w:t>
      </w:r>
    </w:p>
    <w:p>
      <w:pPr>
        <w:spacing w:after="120"/>
      </w:pPr>
      <w:r>
        <w:t xml:space="preserve">proposes to consume from Alpha Morgan Bank: </w:t>
      </w:r>
      <w:r>
        <w:rPr>
          <w:b/>
        </w:rPr>
        <w:t>virtual-account collections</w:t>
      </w:r>
      <w:r>
        <w:t xml:space="preserve"> and the</w:t>
      </w:r>
    </w:p>
    <w:p>
      <w:pPr>
        <w:spacing w:after="120"/>
      </w:pPr>
      <w:r>
        <w:rPr>
          <w:b/>
        </w:rPr>
        <w:t>payout channel</w:t>
      </w:r>
      <w:r>
        <w:t>. It is the operational heart of the Bank's exposure to Paylode,</w:t>
      </w:r>
    </w:p>
    <w:p>
      <w:pPr>
        <w:spacing w:after="120"/>
      </w:pPr>
      <w:r>
        <w:t>and every control described here is implemented in the production platform.</w:t>
      </w:r>
    </w:p>
    <w:p>
      <w:pPr>
        <w:pBdr>
          <w:bottom w:val="single" w:sz="6" w:color="CBD5E1"/>
        </w:pBdr>
      </w:pPr>
    </w:p>
    <w:p>
      <w:pPr>
        <w:pStyle w:val="Heading2"/>
      </w:pPr>
      <w:r/>
      <w:r>
        <w:rPr>
          <w:b/>
          <w:color w:val="0B3D5C"/>
          <w:sz w:val="28"/>
        </w:rPr>
        <w:t>2. Control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Control</w:t>
            </w:r>
          </w:p>
        </w:tc>
        <w:tc>
          <w:tcPr>
            <w:tcW w:type="dxa" w:w="5112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Position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>Unique virtual account per customer, no reuse of numbers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>Implemented</w:t>
            </w:r>
          </w:p>
        </w:tc>
      </w:tr>
      <w:tr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Customer funds segregated from Paylode operating funds</w:t>
            </w:r>
          </w:p>
        </w:tc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Implemented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>Committed settlement cycle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T+1 default</w:t>
            </w:r>
            <w:r>
              <w:rPr>
                <w:sz w:val="18"/>
              </w:rPr>
              <w:t>, T+0 available by arrangement</w:t>
            </w:r>
          </w:p>
        </w:tc>
      </w:tr>
      <w:tr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Payouts are </w:t>
            </w:r>
            <w:r>
              <w:rPr>
                <w:b/>
                <w:sz w:val="18"/>
              </w:rPr>
              <w:t>prepaid</w:t>
            </w:r>
            <w:r>
              <w:rPr>
                <w:sz w:val="18"/>
              </w:rPr>
              <w:t xml:space="preserve"> — no credit exposure to the Bank</w:t>
            </w:r>
          </w:p>
        </w:tc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Implemented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>Per-rail daily value cap and transactions-per-second ceiling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>Implemented</w:t>
            </w:r>
          </w:p>
        </w:tc>
      </w:tr>
      <w:tr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Tiered per-transaction ceilings with AML flagging</w:t>
            </w:r>
          </w:p>
        </w:tc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Implemented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>Name enquiry before every transfer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>Implemented</w:t>
            </w:r>
          </w:p>
        </w:tc>
      </w:tr>
      <w:tr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Recall / review window before dispatch</w:t>
            </w:r>
          </w:p>
        </w:tc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Implemented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>Automatic refund to the merchant on confirmed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>Implemented</w:t>
            </w:r>
          </w:p>
        </w:tc>
      </w:tr>
      <w:tr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No instruction is ever re-sent on an ambiguous response</w:t>
            </w:r>
          </w:p>
        </w:tc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Implemented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>Two independent payout watchdogs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>Implemented</w:t>
            </w:r>
          </w:p>
        </w:tc>
      </w:tr>
      <w:tr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Daily reconciliation against Bank records</w:t>
            </w:r>
          </w:p>
        </w:tc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Implemented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>Full audit trail with before-and-after state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>Implemented</w:t>
            </w:r>
          </w:p>
        </w:tc>
      </w:tr>
    </w:tbl>
    <w:p/>
    <w:p>
      <w:pPr>
        <w:pBdr>
          <w:bottom w:val="single" w:sz="6" w:color="CBD5E1"/>
        </w:pBdr>
      </w:pPr>
    </w:p>
    <w:p>
      <w:pPr>
        <w:pStyle w:val="Heading2"/>
      </w:pPr>
      <w:r/>
      <w:r>
        <w:rPr>
          <w:b/>
          <w:color w:val="0B3D5C"/>
          <w:sz w:val="28"/>
        </w:rPr>
        <w:t>3. Virtual account collections</w:t>
      </w:r>
    </w:p>
    <w:p>
      <w:pPr>
        <w:pStyle w:val="Heading3"/>
      </w:pPr>
      <w:r/>
      <w:r>
        <w:rPr>
          <w:b/>
          <w:color w:val="0B3D5C"/>
          <w:sz w:val="24"/>
        </w:rPr>
        <w:t>3.1 Collection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92240" cy="37696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-v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769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7"/>
        </w:rPr>
        <w:t>Figure 1 — Virtual account provisioning and collection flow, showing the signature, idempotency and surveillance controls applied to every Bank notification.</w:t>
      </w:r>
    </w:p>
    <w:p>
      <w:pPr>
        <w:pStyle w:val="Heading3"/>
      </w:pPr>
      <w:r/>
      <w:r>
        <w:rPr>
          <w:b/>
          <w:color w:val="0B3D5C"/>
          <w:sz w:val="24"/>
        </w:rPr>
        <w:t>3.2 Account allocation (item 16.1)</w:t>
      </w:r>
    </w:p>
    <w:p>
      <w:pPr>
        <w:spacing w:after="120"/>
      </w:pPr>
      <w:r>
        <w:t xml:space="preserve">Virtual accounts are provisioned </w:t>
      </w:r>
      <w:r>
        <w:rPr>
          <w:b/>
        </w:rPr>
        <w:t>one per customer</w:t>
      </w:r>
      <w:r>
        <w:t xml:space="preserve"> through the Bank's issuance</w:t>
      </w:r>
    </w:p>
    <w:p>
      <w:pPr>
        <w:spacing w:after="120"/>
      </w:pPr>
      <w:r>
        <w:t>API and persisted in a mapping table keyed to the merchant and the customer</w:t>
      </w:r>
    </w:p>
    <w:p>
      <w:pPr>
        <w:spacing w:after="120"/>
      </w:pPr>
      <w:r>
        <w:t>reference. Account numbers are issued by the sponsoring institution and are **never</w:t>
      </w:r>
    </w:p>
    <w:p>
      <w:pPr>
        <w:spacing w:after="120"/>
      </w:pPr>
      <w:r>
        <w:t>recycled across customers** by Paylode.</w:t>
      </w:r>
    </w:p>
    <w:p>
      <w:pPr>
        <w:spacing w:after="120"/>
      </w:pPr>
      <w:r>
        <w:t>Provisioning is administratively gated. A virtual account is not issued until the</w:t>
      </w:r>
    </w:p>
    <w:p>
      <w:pPr>
        <w:spacing w:after="120"/>
      </w:pPr>
      <w:r>
        <w:t xml:space="preserve">merchant's KYC submission carries </w:t>
      </w:r>
      <w:r>
        <w:rPr>
          <w:b/>
        </w:rPr>
        <w:t>approved corporate registration data</w:t>
      </w:r>
      <w:r>
        <w:t>, so an</w:t>
      </w:r>
    </w:p>
    <w:p>
      <w:pPr>
        <w:spacing w:after="120"/>
      </w:pPr>
      <w:r>
        <w:t>unverified merchant cannot obtain collection infrastructure.</w:t>
      </w:r>
    </w:p>
    <w:p>
      <w:pPr>
        <w:spacing w:after="120"/>
      </w:pPr>
      <w:r>
        <w:t>The numbering scheme is to be agreed with the Bank. Paylode's only requirements are</w:t>
      </w:r>
    </w:p>
    <w:p>
      <w:pPr>
        <w:spacing w:after="120"/>
      </w:pPr>
      <w:r>
        <w:t>that each account is unique, permanently mapped to one customer of one merchant,</w:t>
      </w:r>
    </w:p>
    <w:p>
      <w:pPr>
        <w:spacing w:after="120"/>
      </w:pPr>
      <w:r>
        <w:t>and carries a Paylode-supplied reference at creation so that inbound credits are</w:t>
      </w:r>
    </w:p>
    <w:p>
      <w:pPr>
        <w:spacing w:after="120"/>
      </w:pPr>
      <w:r>
        <w:t>attributable without ambiguity.</w:t>
      </w:r>
    </w:p>
    <w:p>
      <w:pPr>
        <w:pStyle w:val="Heading3"/>
      </w:pPr>
      <w:r/>
      <w:r>
        <w:rPr>
          <w:b/>
          <w:color w:val="0B3D5C"/>
          <w:sz w:val="24"/>
        </w:rPr>
        <w:t>3.3 Integrity of inbound notifications</w:t>
      </w:r>
    </w:p>
    <w:p>
      <w:pPr>
        <w:spacing w:after="120"/>
      </w:pPr>
      <w:r>
        <w:t>Three controls protect every credit notification the Bank sends:</w:t>
      </w:r>
    </w:p>
    <w:p>
      <w:pPr>
        <w:pStyle w:val="ListNumber"/>
        <w:spacing w:after="40"/>
      </w:pPr>
      <w:r>
        <w:rPr>
          <w:b/>
        </w:rPr>
        <w:t>Signature verified over the raw request body.</w:t>
      </w:r>
      <w:r>
        <w:t xml:space="preserve"> The raw-body parser is mounted</w:t>
      </w:r>
    </w:p>
    <w:p>
      <w:pPr>
        <w:spacing w:after="120"/>
      </w:pPr>
      <w:r>
        <w:t>ahead of JSON parsing, so the signature is checked against the exact bytes</w:t>
      </w:r>
    </w:p>
    <w:p>
      <w:pPr>
        <w:spacing w:after="120"/>
      </w:pPr>
      <w:r>
        <w:t>received. This defeats the canonicalisation attacks that defeat naive</w:t>
      </w:r>
    </w:p>
    <w:p>
      <w:pPr>
        <w:spacing w:after="120"/>
      </w:pPr>
      <w:r>
        <w:t>re-serialisation approaches.</w:t>
      </w:r>
    </w:p>
    <w:p>
      <w:pPr>
        <w:pStyle w:val="ListNumber"/>
        <w:spacing w:after="40"/>
      </w:pPr>
      <w:r>
        <w:rPr>
          <w:b/>
        </w:rPr>
        <w:t>Constant-time comparison.</w:t>
      </w:r>
      <w:r>
        <w:t xml:space="preserve"> The signature check uses a timing-safe comparison</w:t>
      </w:r>
    </w:p>
    <w:p>
      <w:pPr>
        <w:spacing w:after="120"/>
      </w:pPr>
      <w:r>
        <w:t>rather than string equality, so it cannot be attacked by timing analysis.</w:t>
      </w:r>
    </w:p>
    <w:p>
      <w:pPr>
        <w:pStyle w:val="ListNumber"/>
        <w:spacing w:after="40"/>
      </w:pPr>
      <w:r>
        <w:rPr>
          <w:b/>
        </w:rPr>
        <w:t>Idempotency on the provider reference.</w:t>
      </w:r>
      <w:r>
        <w:t xml:space="preserve"> A replayed or duplicated notification</w:t>
      </w:r>
    </w:p>
    <w:p>
      <w:pPr>
        <w:spacing w:after="120"/>
      </w:pPr>
      <w:r>
        <w:t>cannot create a second ledger entry or double-credit a merchant.</w:t>
      </w:r>
    </w:p>
    <w:p>
      <w:pPr>
        <w:spacing w:after="120"/>
      </w:pPr>
      <w:r>
        <w:t xml:space="preserve">Monetary values are held throughout as </w:t>
      </w:r>
      <w:r>
        <w:rPr>
          <w:b/>
        </w:rPr>
        <w:t>integer kobo</w:t>
      </w:r>
      <w:r>
        <w:t>, never as floating-point</w:t>
      </w:r>
    </w:p>
    <w:p>
      <w:pPr>
        <w:spacing w:after="120"/>
      </w:pPr>
      <w:r>
        <w:t>numbers, so no rounding drift can accumulate across the ledger.</w:t>
      </w:r>
    </w:p>
    <w:p>
      <w:pPr>
        <w:pStyle w:val="Heading3"/>
      </w:pPr>
      <w:r/>
      <w:r>
        <w:rPr>
          <w:b/>
          <w:color w:val="0B3D5C"/>
          <w:sz w:val="24"/>
        </w:rPr>
        <w:t>3.4 Fund segregation (item 16.2)</w:t>
      </w:r>
    </w:p>
    <w:p>
      <w:pPr>
        <w:spacing w:after="120"/>
      </w:pPr>
      <w:r>
        <w:t>Collected customer funds settle into a designated collection account and are</w:t>
      </w:r>
    </w:p>
    <w:p>
      <w:pPr>
        <w:spacing w:after="120"/>
      </w:pPr>
      <w:r>
        <w:t xml:space="preserve">tracked in the platform ledger as </w:t>
      </w:r>
      <w:r>
        <w:rPr>
          <w:b/>
        </w:rPr>
        <w:t>liabilities to merchants</w:t>
      </w:r>
      <w:r>
        <w:t>, distinct from</w:t>
      </w:r>
    </w:p>
    <w:p>
      <w:pPr>
        <w:spacing w:after="120"/>
      </w:pPr>
      <w:r>
        <w:t>Paylode revenue. Fees and VAT are computed per transaction and settled separately</w:t>
      </w:r>
    </w:p>
    <w:p>
      <w:pPr>
        <w:spacing w:after="120"/>
      </w:pPr>
      <w:r>
        <w:t>from the merchant's principal.</w:t>
      </w:r>
    </w:p>
    <w:p>
      <w:pPr>
        <w:spacing w:after="120"/>
      </w:pPr>
      <w:r>
        <w:t>*Supporting evidence to attach: the Bank mandate or account-opening confirmation</w:t>
      </w:r>
    </w:p>
    <w:p>
      <w:pPr>
        <w:spacing w:after="120"/>
      </w:pPr>
      <w:r>
        <w:t>showing the collection account is designated as a customer-funds / pooled</w:t>
      </w:r>
    </w:p>
    <w:p>
      <w:pPr>
        <w:spacing w:after="120"/>
      </w:pPr>
      <w:r>
        <w:t>collection account rather than a Paylode operating account.*</w:t>
      </w:r>
    </w:p>
    <w:p>
      <w:pPr>
        <w:pStyle w:val="Heading3"/>
      </w:pPr>
      <w:r/>
      <w:r>
        <w:rPr>
          <w:b/>
          <w:color w:val="0B3D5C"/>
          <w:sz w:val="24"/>
        </w:rPr>
        <w:t>3.5 Settlement cycle (item 16.3)</w:t>
      </w:r>
    </w:p>
    <w:p>
      <w:pPr>
        <w:spacing w:after="120"/>
      </w:pPr>
      <w:r>
        <w:t xml:space="preserve">The default merchant settlement cycle is </w:t>
      </w:r>
      <w:r>
        <w:rPr>
          <w:b/>
        </w:rPr>
        <w:t>T+1</w:t>
      </w:r>
      <w:r>
        <w:t>. Settlement batches are generated</w:t>
      </w:r>
    </w:p>
    <w:p>
      <w:pPr>
        <w:spacing w:after="120"/>
      </w:pPr>
      <w:r>
        <w:t>and fired by a continuously running scheduled job, with a daily generation cycle</w:t>
      </w:r>
    </w:p>
    <w:p>
      <w:pPr>
        <w:spacing w:after="120"/>
      </w:pPr>
      <w:r>
        <w:t xml:space="preserve">anchored at </w:t>
      </w:r>
      <w:r>
        <w:rPr>
          <w:b/>
        </w:rPr>
        <w:t>00:01 Africa/Lagos</w:t>
      </w:r>
      <w:r>
        <w:t>, implemented on a self-correcting schedule so</w:t>
      </w:r>
    </w:p>
    <w:p>
      <w:pPr>
        <w:spacing w:after="120"/>
      </w:pPr>
      <w:r>
        <w:t>that no timezone or drift error can displace it.</w:t>
      </w:r>
    </w:p>
    <w:p>
      <w:pPr>
        <w:spacing w:after="120"/>
      </w:pPr>
      <w:r>
        <w:rPr>
          <w:b/>
        </w:rPr>
        <w:t>T+0 settlement</w:t>
      </w:r>
      <w:r>
        <w:t xml:space="preserve"> can be supported for named merchants where the Bank's liquidity</w:t>
      </w:r>
    </w:p>
    <w:p>
      <w:pPr>
        <w:spacing w:after="120"/>
      </w:pPr>
      <w:r>
        <w:t>arrangement permits. The cycle and any cut-off time to be supported should be</w:t>
      </w:r>
    </w:p>
    <w:p>
      <w:pPr>
        <w:spacing w:after="120"/>
      </w:pPr>
      <w:r>
        <w:t>recorded in the integration agreement.</w:t>
      </w:r>
    </w:p>
    <w:p>
      <w:pPr>
        <w:pBdr>
          <w:bottom w:val="single" w:sz="6" w:color="CBD5E1"/>
        </w:pBdr>
      </w:pPr>
    </w:p>
    <w:p>
      <w:pPr>
        <w:pStyle w:val="Heading2"/>
      </w:pPr>
      <w:r/>
      <w:r>
        <w:rPr>
          <w:b/>
          <w:color w:val="0B3D5C"/>
          <w:sz w:val="28"/>
        </w:rPr>
        <w:t>4. Payout controls</w:t>
      </w:r>
    </w:p>
    <w:p>
      <w:pPr>
        <w:pStyle w:val="Heading3"/>
      </w:pPr>
      <w:r/>
      <w:r>
        <w:rPr>
          <w:b/>
          <w:color w:val="0B3D5C"/>
          <w:sz w:val="24"/>
        </w:rPr>
        <w:t>4.1 Payout control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92240" cy="52356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-payou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52356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7"/>
        </w:rPr>
        <w:t>Figure 2 — Every gate a disbursement must pass. Red paths are rejections; no instruction is re-sent on an ambiguous response.</w:t>
      </w:r>
    </w:p>
    <w:p>
      <w:pPr>
        <w:pStyle w:val="Heading3"/>
      </w:pPr>
      <w:r/>
      <w:r>
        <w:rPr>
          <w:b/>
          <w:color w:val="0B3D5C"/>
          <w:sz w:val="24"/>
        </w:rPr>
        <w:t>4.2 The prepaid model — the Bank's primary protection</w:t>
      </w:r>
    </w:p>
    <w:p>
      <w:pPr>
        <w:spacing w:after="120"/>
      </w:pPr>
      <w:r>
        <w:t xml:space="preserve">A merchant may only disburse funds </w:t>
      </w:r>
      <w:r>
        <w:rPr>
          <w:b/>
        </w:rPr>
        <w:t>already funded into a per-rail wallet</w:t>
      </w:r>
      <w:r>
        <w:t>. There</w:t>
      </w:r>
    </w:p>
    <w:p>
      <w:pPr>
        <w:spacing w:after="120"/>
      </w:pPr>
      <w:r>
        <w:t>is no credit line and no overdraft facility. The float check runs **inside the same</w:t>
      </w:r>
    </w:p>
    <w:p>
      <w:pPr>
        <w:spacing w:after="120"/>
      </w:pPr>
      <w:r>
        <w:t>database transaction as the debit**, so a concurrent-request race cannot overdraw</w:t>
      </w:r>
    </w:p>
    <w:p>
      <w:pPr>
        <w:spacing w:after="120"/>
      </w:pPr>
      <w:r>
        <w:t>the wallet.</w:t>
      </w:r>
    </w:p>
    <w:p>
      <w:pPr>
        <w:spacing w:after="120"/>
      </w:pPr>
      <w:r>
        <w:t>The practical consequence for Alpha Morgan Bank is that **Paylode presents no</w:t>
      </w:r>
    </w:p>
    <w:p>
      <w:pPr>
        <w:spacing w:after="120"/>
      </w:pPr>
      <w:r>
        <w:t>settlement credit exposure on the payout channel** — funds are reserved on the</w:t>
      </w:r>
    </w:p>
    <w:p>
      <w:pPr>
        <w:spacing w:after="120"/>
      </w:pPr>
      <w:r>
        <w:t>Paylode side before any instruction reaches the Bank.</w:t>
      </w:r>
    </w:p>
    <w:p>
      <w:pPr>
        <w:pStyle w:val="Heading3"/>
      </w:pPr>
      <w:r/>
      <w:r>
        <w:rPr>
          <w:b/>
          <w:color w:val="0B3D5C"/>
          <w:sz w:val="24"/>
        </w:rPr>
        <w:t>4.3 Limits and velocity control (item 16.5)</w:t>
      </w:r>
    </w:p>
    <w:p>
      <w:pPr>
        <w:spacing w:after="120"/>
      </w:pPr>
      <w:r>
        <w:t>Limits are enforced at four independent layers: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5112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>Rail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>Daily value cap — remaining capacity computed as the cap less the day's non-failed disbursements, evaluated inside the dispatch transaction</w:t>
            </w:r>
          </w:p>
        </w:tc>
      </w:tr>
      <w:tr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Rail</w:t>
            </w:r>
          </w:p>
        </w:tc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Transactions-per-second ceiling — dispatch concurrency is bounded per rail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>Merchant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>Prepaid wallet balance is an absolute ceiling</w:t>
            </w:r>
          </w:p>
        </w:tc>
      </w:tr>
      <w:tr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Merchant / KYC tier</w:t>
            </w:r>
          </w:p>
        </w:tc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Per-transaction ceilings by tier: </w:t>
            </w:r>
            <w:r>
              <w:rPr>
                <w:b/>
                <w:sz w:val="18"/>
              </w:rPr>
              <w:t>Tier 1 ₦5,000,000 · Tier 2 ₦100,000,000 · Tier 3 ₦500,000,000</w:t>
            </w:r>
            <w:r>
              <w:rPr>
                <w:sz w:val="18"/>
              </w:rPr>
              <w:t>. A transaction above 80% of the tier ceiling raises a HIGH-severity AML flag for compliance disposition.</w:t>
            </w:r>
          </w:p>
        </w:tc>
      </w:tr>
    </w:tbl>
    <w:p/>
    <w:p>
      <w:pPr>
        <w:spacing w:after="120"/>
      </w:pPr>
      <w:r>
        <w:t>Rail caps are adjustable only by a super-administrator, and every change is</w:t>
      </w:r>
    </w:p>
    <w:p>
      <w:pPr>
        <w:spacing w:after="120"/>
      </w:pPr>
      <w:r>
        <w:t>audit-logged with the actor, the previous value, the new value and the source IP.</w:t>
      </w:r>
    </w:p>
    <w:p>
      <w:pPr>
        <w:spacing w:after="120"/>
      </w:pPr>
      <w:r>
        <w:rPr>
          <w:b/>
        </w:rPr>
        <w:t>Commitment to the Bank:</w:t>
      </w:r>
      <w:r>
        <w:t xml:space="preserve"> Paylode will configure the Bank-agreed per-transaction</w:t>
      </w:r>
    </w:p>
    <w:p>
      <w:pPr>
        <w:spacing w:after="120"/>
      </w:pPr>
      <w:r>
        <w:t>and daily aggregate ceilings on the Alpha Morgan rail before go-live, and **will not</w:t>
      </w:r>
    </w:p>
    <w:p>
      <w:pPr>
        <w:spacing w:after="120"/>
      </w:pPr>
      <w:r>
        <w:t>raise them without the Bank's written agreement**.</w:t>
      </w:r>
    </w:p>
    <w:p>
      <w:pPr>
        <w:pStyle w:val="Heading3"/>
      </w:pPr>
      <w:r/>
      <w:r>
        <w:rPr>
          <w:b/>
          <w:color w:val="0B3D5C"/>
          <w:sz w:val="24"/>
        </w:rPr>
        <w:t>4.4 Authorisation and review controls (item 16.4)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Control</w:t>
            </w:r>
          </w:p>
        </w:tc>
        <w:tc>
          <w:tcPr>
            <w:tcW w:type="dxa" w:w="5112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Effect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>Live-mode gate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A live API key is inert until an administrator has explicitly enabled live mode on the merchant. Account activation alone grants portal and sandbox access only — it does </w:t>
            </w:r>
            <w:r>
              <w:rPr>
                <w:b/>
                <w:sz w:val="18"/>
              </w:rPr>
              <w:t>not</w:t>
            </w:r>
            <w:r>
              <w:rPr>
                <w:sz w:val="18"/>
              </w:rPr>
              <w:t xml:space="preserve"> enable real money movement, for collections or payouts.</w:t>
            </w:r>
          </w:p>
        </w:tc>
      </w:tr>
      <w:tr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Recall / review window</w:t>
            </w:r>
          </w:p>
        </w:tc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A batch is created in </w:t>
            </w:r>
            <w:r>
              <w:rPr>
                <w:rFonts w:ascii="Consolas" w:hAnsi="Consolas"/>
                <w:sz w:val="18"/>
              </w:rPr>
              <w:t>pending_review</w:t>
            </w:r>
            <w:r>
              <w:rPr>
                <w:sz w:val="18"/>
              </w:rPr>
              <w:t xml:space="preserve"> and dispatch is deferred by a per-merchant window, during which the merchant may amend or recall it. Name enquiry is pre-fetched during the window, so the delay costs no dispatch latency.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>Administrative segregation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>Wallet funding, rail rebalancing, routing changes and cap changes require a super-administrator. Merchants cannot fund their own wallet or alter their own limits.</w:t>
            </w:r>
          </w:p>
        </w:tc>
      </w:tr>
      <w:tr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Settlement-account change control</w:t>
            </w:r>
          </w:p>
        </w:tc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A merchant's request to change their settlement destination is held in a pending state until an administrator approves it. A merchant </w:t>
            </w:r>
            <w:r>
              <w:rPr>
                <w:b/>
                <w:sz w:val="18"/>
              </w:rPr>
              <w:t>cannot unilaterally redirect their own settlement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>Audit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Every administrative and money-movement action writes an audit record with actor, action, entity, </w:t>
            </w:r>
            <w:r>
              <w:rPr>
                <w:b/>
                <w:sz w:val="18"/>
              </w:rPr>
              <w:t>full before and after state</w:t>
            </w:r>
            <w:r>
              <w:rPr>
                <w:sz w:val="18"/>
              </w:rPr>
              <w:t>, free-text rationale and source IP.</w:t>
            </w:r>
          </w:p>
        </w:tc>
      </w:tr>
    </w:tbl>
    <w:p/>
    <w:p>
      <w:pPr>
        <w:pStyle w:val="Heading3"/>
      </w:pPr>
      <w:r/>
      <w:r>
        <w:rPr>
          <w:b/>
          <w:color w:val="0B3D5C"/>
          <w:sz w:val="24"/>
        </w:rPr>
        <w:t>4.5 Beneficiary validation and screening (item 16.6)</w:t>
      </w:r>
    </w:p>
    <w:p>
      <w:pPr>
        <w:spacing w:after="120"/>
      </w:pPr>
      <w:r>
        <w:t>Every beneficiary is **name-enquiry validated at the rail before any transfer is</w:t>
      </w:r>
    </w:p>
    <w:p>
      <w:pPr>
        <w:spacing w:after="120"/>
      </w:pPr>
      <w:r>
        <w:t>sent**, so funds are never dispatched to an unresolvable account.</w:t>
      </w:r>
    </w:p>
    <w:p>
      <w:pPr>
        <w:spacing w:after="120"/>
      </w:pPr>
      <w:r>
        <w:t>Transaction surveillance runs against every transaction through a rule engine that</w:t>
      </w:r>
    </w:p>
    <w:p>
      <w:pPr>
        <w:spacing w:after="120"/>
      </w:pPr>
      <w:r>
        <w:t>raises dispositionable flags: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Rule</w:t>
            </w:r>
          </w:p>
        </w:tc>
        <w:tc>
          <w:tcPr>
            <w:tcW w:type="dxa" w:w="5112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Severity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>Single transaction above 80% of the merchant's KYC tier ceiling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More than 20 transactions from one merchant within 2 hours</w:t>
            </w:r>
          </w:p>
        </w:tc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>Five or more round-number transactions in a day (structuring indicator)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>MEDIUM</w:t>
            </w:r>
          </w:p>
        </w:tc>
      </w:tr>
    </w:tbl>
    <w:p/>
    <w:p>
      <w:pPr>
        <w:spacing w:after="120"/>
      </w:pPr>
      <w:r>
        <w:t>Flags are worked by the compliance role through a dedicated review surface, with a</w:t>
      </w:r>
    </w:p>
    <w:p>
      <w:pPr>
        <w:spacing w:after="120"/>
      </w:pPr>
      <w:r>
        <w:t>compliance watchlist and an exception workflow supporting defer, clear and block</w:t>
      </w:r>
    </w:p>
    <w:p>
      <w:pPr>
        <w:spacing w:after="120"/>
      </w:pPr>
      <w:r>
        <w:t>dispositions. Deferred items are automatically re-opened on expiry by an hourly</w:t>
      </w:r>
    </w:p>
    <w:p>
      <w:pPr>
        <w:spacing w:after="120"/>
      </w:pPr>
      <w:r>
        <w:t>sweep, so a deferral cannot silently become a permanent exemption.</w:t>
      </w:r>
    </w:p>
    <w:p>
      <w:pPr>
        <w:spacing w:after="120"/>
      </w:pPr>
      <w:r>
        <w:t>*Sanctions and politically-exposed-person screening against a licensed list is being</w:t>
      </w:r>
    </w:p>
    <w:p>
      <w:pPr>
        <w:spacing w:after="120"/>
      </w:pPr>
      <w:r>
        <w:t>integrated into the pre-dispatch path; the provider selection and delivery date are</w:t>
      </w:r>
    </w:p>
    <w:p>
      <w:pPr>
        <w:spacing w:after="120"/>
      </w:pPr>
      <w:r>
        <w:t>recorded separately.*</w:t>
      </w:r>
    </w:p>
    <w:p>
      <w:pPr>
        <w:pStyle w:val="Heading3"/>
      </w:pPr>
      <w:r/>
      <w:r>
        <w:rPr>
          <w:b/>
          <w:color w:val="0B3D5C"/>
          <w:sz w:val="24"/>
        </w:rPr>
        <w:t>4.6 Failure, reversal and delay handling (item 16.8)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Outcome</w:t>
            </w:r>
          </w:p>
        </w:tc>
        <w:tc>
          <w:tcPr>
            <w:tcW w:type="dxa" w:w="5112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Handling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Confirmed success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>Item marked settled; ledger entry written</w:t>
            </w:r>
          </w:p>
        </w:tc>
      </w:tr>
      <w:tr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Confirmed failure</w:t>
            </w:r>
          </w:p>
        </w:tc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Failure reason stored; item marked failed; </w:t>
            </w:r>
            <w:r>
              <w:rPr>
                <w:b/>
                <w:sz w:val="18"/>
              </w:rPr>
              <w:t>the merchant wallet is refunded automatically</w:t>
            </w:r>
            <w:r>
              <w:rPr>
                <w:sz w:val="18"/>
              </w:rPr>
              <w:t>, timestamped and attributed, without requiring a support ticket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Ambiguous or absent response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The item remains in </w:t>
            </w:r>
            <w:r>
              <w:rPr>
                <w:rFonts w:ascii="Consolas" w:hAnsi="Consolas"/>
                <w:sz w:val="18"/>
              </w:rPr>
              <w:t>processing</w:t>
            </w:r>
            <w:r>
              <w:rPr>
                <w:sz w:val="18"/>
              </w:rPr>
              <w:t xml:space="preserve"> and </w:t>
            </w:r>
            <w:r>
              <w:rPr>
                <w:b/>
                <w:sz w:val="18"/>
              </w:rPr>
              <w:t>is never re-sent</w:t>
            </w:r>
            <w:r>
              <w:rPr>
                <w:sz w:val="18"/>
              </w:rPr>
              <w:t>. It is resolved only by status re-query.</w:t>
            </w:r>
          </w:p>
        </w:tc>
      </w:tr>
    </w:tbl>
    <w:p/>
    <w:p>
      <w:pPr>
        <w:spacing w:after="120"/>
      </w:pPr>
      <w:r>
        <w:t>This last control is the single most important protection against double-payment,</w:t>
      </w:r>
    </w:p>
    <w:p>
      <w:pPr>
        <w:spacing w:after="120"/>
      </w:pPr>
      <w:r>
        <w:t>and it is deliberate: a delayed payment is recoverable, a duplicated one may not be.</w:t>
      </w:r>
    </w:p>
    <w:p>
      <w:pPr>
        <w:spacing w:after="120"/>
      </w:pPr>
      <w:r>
        <w:t>Batch-level retry is available for failed items only. Batch reports are exportable</w:t>
      </w:r>
    </w:p>
    <w:p>
      <w:pPr>
        <w:spacing w:after="120"/>
      </w:pPr>
      <w:r>
        <w:t>as PDF and CSV for merchant and Bank reconciliation.</w:t>
      </w:r>
    </w:p>
    <w:p>
      <w:pPr>
        <w:pBdr>
          <w:bottom w:val="single" w:sz="6" w:color="CBD5E1"/>
        </w:pBdr>
      </w:pPr>
    </w:p>
    <w:p>
      <w:pPr>
        <w:pStyle w:val="Heading2"/>
      </w:pPr>
      <w:r/>
      <w:r>
        <w:rPr>
          <w:b/>
          <w:color w:val="0B3D5C"/>
          <w:sz w:val="28"/>
        </w:rPr>
        <w:t>5. Reconciliation (item 16.7)</w:t>
      </w:r>
    </w:p>
    <w:p>
      <w:pPr>
        <w:spacing w:after="120"/>
      </w:pPr>
      <w:r>
        <w:t>Four independent layers reconcile Paylode's ledger against rail and Bank records: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3408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3408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Function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sz w:val="18"/>
              </w:rPr>
              <w:t>Continuous payout reconciliation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sz w:val="18"/>
              </w:rPr>
              <w:t>Short interval, continuous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sz w:val="18"/>
              </w:rPr>
              <w:t>Re-queries the rail for the true status of sent items</w:t>
            </w:r>
          </w:p>
        </w:tc>
      </w:tr>
      <w:tr>
        <w:tc>
          <w:tcPr>
            <w:tcW w:type="dxa" w:w="3408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Stuck-batch monitor</w:t>
            </w:r>
          </w:p>
        </w:tc>
        <w:tc>
          <w:tcPr>
            <w:tcW w:type="dxa" w:w="3408"/>
            <w:shd w:val="clear" w:fill="F8FAFC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Every 5 minutes</w:t>
            </w:r>
          </w:p>
        </w:tc>
        <w:tc>
          <w:tcPr>
            <w:tcW w:type="dxa" w:w="3408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Finds batches in </w:t>
            </w:r>
            <w:r>
              <w:rPr>
                <w:rFonts w:ascii="Consolas" w:hAnsi="Consolas"/>
                <w:sz w:val="18"/>
              </w:rPr>
              <w:t>processing</w:t>
            </w:r>
            <w:r>
              <w:rPr>
                <w:sz w:val="18"/>
              </w:rPr>
              <w:t xml:space="preserve"> whose legs were never sent; recovers or alerts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sz w:val="18"/>
              </w:rPr>
              <w:t>Payout watchdog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Every 5 minutes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Items in </w:t>
            </w:r>
            <w:r>
              <w:rPr>
                <w:rFonts w:ascii="Consolas" w:hAnsi="Consolas"/>
                <w:sz w:val="18"/>
              </w:rPr>
              <w:t>processing</w:t>
            </w:r>
            <w:r>
              <w:rPr>
                <w:sz w:val="18"/>
              </w:rPr>
              <w:t xml:space="preserve"> for more than </w:t>
            </w:r>
            <w:r>
              <w:rPr>
                <w:b/>
                <w:sz w:val="18"/>
              </w:rPr>
              <w:t>15 minutes</w:t>
            </w:r>
            <w:r>
              <w:rPr>
                <w:sz w:val="18"/>
              </w:rPr>
              <w:t xml:space="preserve"> are re-queried at the rail and resolved to success, or failed with automatic refund</w:t>
            </w:r>
          </w:p>
        </w:tc>
      </w:tr>
      <w:tr>
        <w:tc>
          <w:tcPr>
            <w:tcW w:type="dxa" w:w="3408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Rail float synchronisation</w:t>
            </w:r>
          </w:p>
        </w:tc>
        <w:tc>
          <w:tcPr>
            <w:tcW w:type="dxa" w:w="3408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Periodic</w:t>
            </w:r>
          </w:p>
        </w:tc>
        <w:tc>
          <w:tcPr>
            <w:tcW w:type="dxa" w:w="3408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Compares each rail's balance against the platform's expected float, with low-balance alerting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sz w:val="18"/>
              </w:rPr>
              <w:t>Bank statement reconciliation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sz w:val="18"/>
              </w:rPr>
              <w:t>On upload / daily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Matches statement credit lines to settlements 1:1, on amount within a configurable tolerance </w:t>
            </w:r>
            <w:r>
              <w:rPr>
                <w:b/>
                <w:sz w:val="18"/>
              </w:rPr>
              <w:t>and</w:t>
            </w:r>
            <w:r>
              <w:rPr>
                <w:sz w:val="18"/>
              </w:rPr>
              <w:t xml:space="preserve"> a date window covering the expected T+1/T+2 landing lag, classifying each line as matched, partial or unmatched</w:t>
            </w:r>
          </w:p>
        </w:tc>
      </w:tr>
    </w:tbl>
    <w:p/>
    <w:p>
      <w:pPr>
        <w:spacing w:after="120"/>
      </w:pPr>
      <w:r>
        <w:rPr>
          <w:b/>
        </w:rPr>
        <w:t>Discrepancy-resolution service levels offered to the Bank: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Stage</w:t>
            </w:r>
          </w:p>
        </w:tc>
        <w:tc>
          <w:tcPr>
            <w:tcW w:type="dxa" w:w="5112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Commitment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>Unmatched item raised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Within </w:t>
            </w:r>
            <w:r>
              <w:rPr>
                <w:b/>
                <w:sz w:val="18"/>
              </w:rPr>
              <w:t>1 business day</w:t>
            </w:r>
            <w:r>
              <w:rPr>
                <w:sz w:val="18"/>
              </w:rPr>
              <w:t xml:space="preserve"> of the reconciliation run</w:t>
            </w:r>
          </w:p>
        </w:tc>
      </w:tr>
      <w:tr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Investigation commenced</w:t>
            </w:r>
          </w:p>
        </w:tc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Immediately on identification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>Resolution or written status to the Bank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Within </w:t>
            </w:r>
            <w:r>
              <w:rPr>
                <w:b/>
                <w:sz w:val="18"/>
              </w:rPr>
              <w:t>3 business days</w:t>
            </w:r>
          </w:p>
        </w:tc>
      </w:tr>
      <w:tr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Value-affecting discrepancy</w:t>
            </w:r>
          </w:p>
        </w:tc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Escalated to the incident contact </w:t>
            </w:r>
            <w:r>
              <w:rPr>
                <w:b/>
                <w:sz w:val="18"/>
              </w:rPr>
              <w:t>on discovery</w:t>
            </w:r>
            <w:r>
              <w:rPr>
                <w:sz w:val="18"/>
              </w:rPr>
              <w:t>, outside the SLA clock</w:t>
            </w:r>
          </w:p>
        </w:tc>
      </w:tr>
    </w:tbl>
    <w:p/>
    <w:p>
      <w:pPr>
        <w:pBdr>
          <w:bottom w:val="single" w:sz="6" w:color="CBD5E1"/>
        </w:pBdr>
      </w:pPr>
    </w:p>
    <w:p>
      <w:pPr>
        <w:pStyle w:val="Heading2"/>
      </w:pPr>
      <w:r/>
      <w:r>
        <w:rPr>
          <w:b/>
          <w:color w:val="0B3D5C"/>
          <w:sz w:val="28"/>
        </w:rPr>
        <w:t>6. Status reporting to the Bank (item 16.9)</w:t>
      </w:r>
    </w:p>
    <w:p>
      <w:pPr>
        <w:spacing w:after="120"/>
      </w:pPr>
      <w:r>
        <w:t>Paylode operates signed webhook infrastructure in both directions, with</w:t>
      </w:r>
    </w:p>
    <w:p>
      <w:pPr>
        <w:spacing w:after="120"/>
      </w:pPr>
      <w:r>
        <w:t>HMAC-SHA512 signatures, raw-body verification, asynchronous delivery through a</w:t>
      </w:r>
    </w:p>
    <w:p>
      <w:pPr>
        <w:spacing w:after="120"/>
      </w:pPr>
      <w:r>
        <w:t>queue with retry, and a delivery audit table recording every attempt.</w:t>
      </w:r>
    </w:p>
    <w:p>
      <w:pPr>
        <w:spacing w:after="120"/>
      </w:pPr>
      <w:r>
        <w:t>Paylode will publish a Bank-facing status callback for collections and payouts on</w:t>
      </w:r>
    </w:p>
    <w:p>
      <w:pPr>
        <w:spacing w:after="120"/>
      </w:pPr>
      <w:r>
        <w:t>whatever schema the Bank specifies, or consume the Bank's callbacks — whichever the</w:t>
      </w:r>
    </w:p>
    <w:p>
      <w:pPr>
        <w:spacing w:after="120"/>
      </w:pPr>
      <w:r>
        <w:t>Bank's integration pack defines. Polling endpoints for item and batch status are</w:t>
      </w:r>
    </w:p>
    <w:p>
      <w:pPr>
        <w:spacing w:after="120"/>
      </w:pPr>
      <w:r>
        <w:t>available as a fallback.</w:t>
      </w:r>
    </w:p>
    <w:p>
      <w:pPr>
        <w:pBdr>
          <w:bottom w:val="single" w:sz="6" w:color="CBD5E1"/>
        </w:pBdr>
      </w:pPr>
    </w:p>
    <w:p>
      <w:pPr>
        <w:pStyle w:val="Heading2"/>
      </w:pPr>
      <w:r/>
      <w:r>
        <w:rPr>
          <w:b/>
          <w:color w:val="0B3D5C"/>
          <w:sz w:val="28"/>
        </w:rPr>
        <w:t>7. Volume and value projections (item 16.10)</w:t>
      </w:r>
    </w:p>
    <w:p>
      <w:pPr>
        <w:spacing w:after="120"/>
      </w:pPr>
      <w:r>
        <w:t>To be completed by Paylode from platform history. The Bank will size its own</w:t>
      </w:r>
    </w:p>
    <w:p>
      <w:pPr>
        <w:spacing w:after="120"/>
      </w:pPr>
      <w:r>
        <w:t>limits, float and monitoring from these figures.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>Maximum single collection value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>₦ [                    ]</w:t>
            </w:r>
          </w:p>
        </w:tc>
      </w:tr>
      <w:tr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Maximum single payout value</w:t>
            </w:r>
          </w:p>
        </w:tc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₦ [                    ]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>Expected daily collection volume / value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] transactions / ₦ [                    ]</w:t>
            </w:r>
          </w:p>
        </w:tc>
      </w:tr>
      <w:tr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Expected daily payout volume / value</w:t>
            </w:r>
          </w:p>
        </w:tc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] transactions / ₦ [                    ]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>Expected monthly value through the Bank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>₦ [                    ]</w:t>
            </w:r>
          </w:p>
        </w:tc>
      </w:tr>
      <w:tr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Peak-day multiple (month-end, salary runs)</w:t>
            </w:r>
          </w:p>
        </w:tc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] × average</w:t>
            </w:r>
          </w:p>
        </w:tc>
      </w:tr>
    </w:tbl>
    <w:p/>
    <w:p>
      <w:pPr>
        <w:pBdr>
          <w:bottom w:val="single" w:sz="6" w:color="CBD5E1"/>
        </w:pBdr>
      </w:pPr>
    </w:p>
    <w:p>
      <w:pPr>
        <w:pStyle w:val="Heading2"/>
      </w:pPr>
      <w:r/>
      <w:r>
        <w:rPr>
          <w:b/>
          <w:color w:val="0B3D5C"/>
          <w:sz w:val="28"/>
        </w:rPr>
        <w:t>8.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>Prepared by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                          ]</w:t>
            </w:r>
          </w:p>
        </w:tc>
      </w:tr>
      <w:tr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Reviewed by</w:t>
            </w:r>
          </w:p>
        </w:tc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                          ]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>Approved by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                          ]</w:t>
            </w:r>
          </w:p>
        </w:tc>
      </w:tr>
      <w:tr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Date of issue</w:t>
            </w:r>
          </w:p>
        </w:tc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      ]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>Next review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      ]</w:t>
            </w:r>
          </w:p>
        </w:tc>
      </w:tr>
    </w:tbl>
    <w:p/>
    <w:sectPr w:rsidR="00FC693F" w:rsidRPr="0006063C" w:rsidSect="00034616">
      <w:footerReference w:type="default" r:id="rId11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5"/>
      </w:rPr>
      <w:t>Paylode Services Limited — CONFIDENTIAL — prepared for Alpha Morgan Bank (AMB-ISO-VRQ-019)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