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Data Protection and NDPA Compliance Policy</w:t>
      </w:r>
    </w:p>
    <w:p>
      <w:pPr>
        <w:spacing w:after="120"/>
      </w:pPr>
      <w:r>
        <w:rPr>
          <w:b/>
        </w:rPr>
        <w:t>Paylode Services Limited</w:t>
      </w:r>
      <w:r>
        <w:t xml:space="preserve"> · CBN-licensed Payment Solution Service Provider</w:t>
      </w:r>
    </w:p>
    <w:p>
      <w:pPr>
        <w:spacing w:after="120"/>
      </w:pPr>
      <w:r>
        <w:t xml:space="preserve">Prepared for: </w:t>
      </w:r>
      <w:r>
        <w:rPr>
          <w:b/>
        </w:rPr>
        <w:t>Alpha Morgan Bank — Information Security Division</w:t>
      </w:r>
    </w:p>
    <w:p>
      <w:pPr>
        <w:spacing w:after="120"/>
      </w:pPr>
      <w:r>
        <w:t xml:space="preserve">Assessment reference: </w:t>
      </w:r>
      <w:r>
        <w:rPr>
          <w:b/>
        </w:rPr>
        <w:t>AMB-ISO-VRQ-019</w:t>
      </w:r>
      <w:r>
        <w:t xml:space="preserve"> · Classification: </w:t>
      </w:r>
      <w:r>
        <w:rPr>
          <w:b/>
        </w:rPr>
        <w:t>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PSL-EV-04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Policy 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Data Protection Officer — 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], Director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 of approval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Review cycle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Annually, or on material change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Addresses questionnaire items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13.1–13.10, Section B (data types and processing), Section F (termination and disposal)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1. Purpose and legal basis of this policy</w:t>
      </w:r>
    </w:p>
    <w:p>
      <w:pPr>
        <w:spacing w:after="120"/>
      </w:pPr>
      <w:r>
        <w:t>This policy governs Paylode's handling of personal data under the **Nigeria Data</w:t>
      </w:r>
    </w:p>
    <w:p>
      <w:pPr>
        <w:spacing w:after="120"/>
      </w:pPr>
      <w:r>
        <w:t>Protection Act 2023 (NDPA)</w:t>
      </w:r>
      <w:r>
        <w:rPr>
          <w:b/>
        </w:rPr>
        <w:t xml:space="preserve"> and guidance issued by the </w:t>
      </w:r>
      <w:r>
        <w:t>Nigeria Data Protection</w:t>
      </w:r>
    </w:p>
    <w:p>
      <w:pPr>
        <w:spacing w:after="120"/>
      </w:pPr>
      <w:r>
        <w:t>Commission (NDPC)**, and of data processed on behalf of banks and merchants under</w:t>
      </w:r>
    </w:p>
    <w:p>
      <w:pPr>
        <w:spacing w:after="120"/>
      </w:pPr>
      <w:r>
        <w:t>contract. It applies to every director, employee, contractor and sub-processor.</w:t>
      </w:r>
    </w:p>
    <w:p>
      <w:pPr>
        <w:pStyle w:val="Heading2"/>
      </w:pPr>
      <w:r/>
      <w:r>
        <w:rPr>
          <w:b/>
          <w:color w:val="0B3D5C"/>
          <w:sz w:val="28"/>
        </w:rPr>
        <w:t>2. Controller and processor roles</w:t>
      </w:r>
    </w:p>
    <w:p>
      <w:pPr>
        <w:spacing w:after="120"/>
      </w:pPr>
      <w:r>
        <w:t>Paylode acts as:</w:t>
      </w:r>
    </w:p>
    <w:p>
      <w:pPr>
        <w:pStyle w:val="ListBullet"/>
        <w:spacing w:after="40"/>
      </w:pPr>
      <w:r>
        <w:rPr>
          <w:b/>
        </w:rPr>
        <w:t>Data controller</w:t>
      </w:r>
      <w:r>
        <w:t xml:space="preserve"> for its own merchants' data and its staff data — Paylode</w:t>
      </w:r>
    </w:p>
    <w:p>
      <w:pPr>
        <w:spacing w:after="120"/>
      </w:pPr>
      <w:r>
        <w:t>determines the purposes and means of that processing.</w:t>
      </w:r>
    </w:p>
    <w:p>
      <w:pPr>
        <w:pStyle w:val="ListBullet"/>
        <w:spacing w:after="40"/>
      </w:pPr>
      <w:r>
        <w:rPr>
          <w:b/>
        </w:rPr>
        <w:t>Data processor</w:t>
      </w:r>
      <w:r>
        <w:t xml:space="preserve"> for data handled on the documented instruction of a bank or</w:t>
      </w:r>
    </w:p>
    <w:p>
      <w:pPr>
        <w:spacing w:after="120"/>
      </w:pPr>
      <w:r>
        <w:t xml:space="preserve">merchant, </w:t>
      </w:r>
      <w:r>
        <w:rPr>
          <w:b/>
        </w:rPr>
        <w:t>including all Alpha Morgan Bank data under this engagement</w:t>
      </w:r>
      <w:r>
        <w:t>. In this</w:t>
      </w:r>
    </w:p>
    <w:p>
      <w:pPr>
        <w:spacing w:after="120"/>
      </w:pPr>
      <w:r>
        <w:t>role Paylode acts only on instruction and does not determine the purposes of</w:t>
      </w:r>
    </w:p>
    <w:p>
      <w:pPr>
        <w:spacing w:after="120"/>
      </w:pPr>
      <w:r>
        <w:t>processing.</w:t>
      </w:r>
    </w:p>
    <w:p>
      <w:pPr>
        <w:spacing w:after="120"/>
      </w:pPr>
      <w:r>
        <w:t xml:space="preserve">The </w:t>
      </w:r>
      <w:r>
        <w:rPr>
          <w:b/>
        </w:rPr>
        <w:t>Data Protection Officer</w:t>
      </w:r>
      <w:r>
        <w:t xml:space="preserve"> is accountable for this policy, for the NDPC</w:t>
      </w:r>
    </w:p>
    <w:p>
      <w:pPr>
        <w:spacing w:after="120"/>
      </w:pPr>
      <w:r>
        <w:t>relationship, for the annual Data Protection Compliance Audit, and for the register</w:t>
      </w:r>
    </w:p>
    <w:p>
      <w:pPr>
        <w:spacing w:after="120"/>
      </w:pPr>
      <w:r>
        <w:t>of processing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Registration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Expiry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NDPC registration (NDPA 2023)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 Protection Compliance Audit filing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Licensed Data Protection Compliance Organisation engaged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3. Lawful basis of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Processing activity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Lawful basis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execution and settlement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Performance of a contract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KYC, AML/CFT screening and record-keeping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Legal obligation (CBN, NDPA)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Fraud prevention and platform security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Legitimate interest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Marketing communications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Consent — freely given, and withdrawable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4.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Handling rule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C4 — Restricted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Data whose disclosure causes direct financial loss or regulatory breach: BVN, NIN, settlement account numbers, API credentials, webhook secrets, password hashes, second-factor seeds, encryption keys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Encrypted or hashed at rest; never written to logs; never present in non-production; access limited to named roles with audit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C3 — Confidential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Customer and merchant personal data, transaction records, ledger entries, KYC documents, </w:t>
            </w:r>
            <w:r>
              <w:rPr>
                <w:b/>
                <w:sz w:val="18"/>
              </w:rPr>
              <w:t>Bank data received under this engagement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Encrypted in transit; role-gated; audit-logged on change; retained per section 7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C2 — Internal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Operational configuration, rail costs, platform settings, internal 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Staff access only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C1 — Public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Marketing site, published API documentation, SDK packages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 restriction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5. Bank data inventory</w:t>
      </w:r>
    </w:p>
    <w:p>
      <w:pPr>
        <w:spacing w:after="120"/>
      </w:pPr>
      <w:r>
        <w:t>The complete set of Alpha Morgan Bank data Paylode will handle. Paylode requests</w:t>
      </w:r>
    </w:p>
    <w:p>
      <w:pPr>
        <w:spacing w:after="120"/>
      </w:pPr>
      <w:r>
        <w:t>nothing beyond this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Stored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Virtual account number issued by the Bank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Bank to Paylode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Attribute incoming credits to the correct merchant and customer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Virtual account name and reference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Provisioning and reconciliation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Payer name, payer bank, payer account (masked where supplied)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Bank to Paylode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record, AML surveillance, dispute handling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 amount, currency, timestamp, session identifier, Bank reference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Ledger, settlement, reconciliation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Beneficiary bank code, account number, resolved account 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to Bank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 instruction and its audit record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 narration and reference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to Bank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Reconciliation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account balance and statement lines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C2/C3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Bank to Paylode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Float management and daily reconciliation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Bank API credentials and certificates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C4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Bank to Paylode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Environment configuration only — </w:t>
            </w:r>
            <w:r>
              <w:rPr>
                <w:b/>
                <w:sz w:val="18"/>
              </w:rPr>
              <w:t>never in source control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Authenticate to the Bank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Cardholder data (PAN, CVV, PIN)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Never stored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stores no card data in plaintext; card rails are external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Bank employee records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requested, not required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Not applicable to this engagement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5.1 Processing operations performed on Bank data</w:t>
      </w:r>
    </w:p>
    <w:p>
      <w:pPr>
        <w:spacing w:after="120"/>
      </w:pPr>
      <w:r>
        <w:t>Storage; matching (credit to merchant to settlement); enrichment (bank-code</w:t>
      </w:r>
    </w:p>
    <w:p>
      <w:pPr>
        <w:spacing w:after="120"/>
      </w:pPr>
      <w:r>
        <w:t>resolution, fee and VAT computation); aggregation (settlement batching);</w:t>
      </w:r>
    </w:p>
    <w:p>
      <w:pPr>
        <w:spacing w:after="120"/>
      </w:pPr>
      <w:r>
        <w:t>transmission (to the merchant by signed webhook, and to the merchant's settlement</w:t>
      </w:r>
    </w:p>
    <w:p>
      <w:pPr>
        <w:spacing w:after="120"/>
      </w:pPr>
      <w:r>
        <w:t>bank); surveillance (AML rule evaluation); reconciliation; and deletion per</w:t>
      </w:r>
    </w:p>
    <w:p>
      <w:pPr>
        <w:spacing w:after="120"/>
      </w:pPr>
      <w:r>
        <w:t>section 7.</w:t>
      </w:r>
    </w:p>
    <w:p>
      <w:pPr>
        <w:spacing w:after="120"/>
      </w:pPr>
      <w:r>
        <w:t>**Paylode does not perform profiling, does not resell data, does not conduct</w:t>
      </w:r>
    </w:p>
    <w:p>
      <w:pPr>
        <w:spacing w:after="120"/>
      </w:pPr>
      <w:r>
        <w:t>secondary analytics, and does not use Bank data to train any model.**</w:t>
      </w:r>
    </w:p>
    <w:p>
      <w:pPr>
        <w:pStyle w:val="Heading2"/>
      </w:pPr>
      <w:r/>
      <w:r>
        <w:rPr>
          <w:b/>
          <w:color w:val="0B3D5C"/>
          <w:sz w:val="28"/>
        </w:rPr>
        <w:t>6. Security of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Field-level encryption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AES-256-GCM with a per-operation initialisation vector and authentication tag, applied to settlement account numbers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Credential storage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keys stored only as a SHA-256 hash — plaintext is never persisted; passwords under bcrypt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Transport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TLS 1.2 minimum, TLS 1.3 preferred; HSTS with a one-year max-age including subdomains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Integrity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HMAC-SHA512 signatures on webhooks, verified over the raw body with a constant-time comparison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control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Role-based with granular permissions, re-validated against the database on every request; multi-tenancy enforced by scoping every query to the authenticated merchant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factor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Time-based one-time passwords; step-up re-authentication required to reveal or rotate a signing secret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state-changing action records actor, action, entity, full before and after state, and source IP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 minimisation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 evidence is tiered to the merchant's transaction ceiling; card data is never stored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7. Retention and disposal</w:t>
      </w:r>
    </w:p>
    <w:p>
      <w:pPr>
        <w:spacing w:after="120"/>
      </w:pPr>
      <w:r>
        <w:t>Retention is set by CBN and NDPC obligations that bind a licensed payment service</w:t>
      </w:r>
    </w:p>
    <w:p>
      <w:pPr>
        <w:spacing w:after="120"/>
      </w:pPr>
      <w:r>
        <w:t>provider, not by operational convenience.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Retention period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Driver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Transaction, ledger, settlement and payout records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 years</w:t>
            </w:r>
            <w:r>
              <w:rPr>
                <w:sz w:val="18"/>
              </w:rPr>
              <w:t xml:space="preserve"> from transaction date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CBN AML/CFT record-keeping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 records and verification reports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 years</w:t>
            </w:r>
            <w:r>
              <w:rPr>
                <w:sz w:val="18"/>
              </w:rPr>
              <w:t xml:space="preserve"> after the relationship ends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CBN AML/CFT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AML flags, compliance exceptions, suspicious activity records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 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CBN AML/CFT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logs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 years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Forensic and regulatory examination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 and API logs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 months</w:t>
            </w:r>
            <w:r>
              <w:rPr>
                <w:sz w:val="18"/>
              </w:rPr>
              <w:t xml:space="preserve"> minimum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Bank requirement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 document images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 years, then secure deletion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CBN AML/CFT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Marketing and support correspondence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2 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NDPA minimisation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Rolling 90 days, then overwritten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Operational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7.1 Disposal method — NIST SP 800-88 Rev.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Encrypted volumes and cloud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Cryptographic erase</w:t>
            </w:r>
            <w:r>
              <w:rPr>
                <w:sz w:val="18"/>
              </w:rPr>
              <w:t xml:space="preserve"> — destruction of the key renders the data unrecoverable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 records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Hard delete, with the deletion recorded in the audit log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Expire on the rolling cycle; no selective restoration of expired data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Physical media at end of life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Purge</w:t>
            </w:r>
            <w:r>
              <w:rPr>
                <w:sz w:val="18"/>
              </w:rPr>
              <w:t xml:space="preserve"> per SP 800-88; destruction certificate retained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Paper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Cross-cut shredding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7.2 Customised retention</w:t>
      </w:r>
    </w:p>
    <w:p>
      <w:pPr>
        <w:spacing w:after="120"/>
      </w:pPr>
      <w:r>
        <w:t xml:space="preserve">The Bank may request a retention schedule </w:t>
      </w:r>
      <w:r>
        <w:rPr>
          <w:b/>
        </w:rPr>
        <w:t>at or above</w:t>
      </w:r>
      <w:r>
        <w:t xml:space="preserve"> the statutory floors</w:t>
      </w:r>
    </w:p>
    <w:p>
      <w:pPr>
        <w:spacing w:after="120"/>
      </w:pPr>
      <w:r>
        <w:t xml:space="preserve">above. Paylode </w:t>
      </w:r>
      <w:r>
        <w:rPr>
          <w:b/>
        </w:rPr>
        <w:t>cannot</w:t>
      </w:r>
      <w:r>
        <w:t xml:space="preserve"> delete AML-relevant records earlier than the CBN retention</w:t>
      </w:r>
    </w:p>
    <w:p>
      <w:pPr>
        <w:spacing w:after="120"/>
      </w:pPr>
      <w:r>
        <w:t>period, even on the Bank's instruction, and the Data Processing Agreement should</w:t>
      </w:r>
    </w:p>
    <w:p>
      <w:pPr>
        <w:spacing w:after="120"/>
      </w:pPr>
      <w:r>
        <w:t>record that carve-out explicitly. A vendor who promises unconditional early</w:t>
      </w:r>
    </w:p>
    <w:p>
      <w:pPr>
        <w:spacing w:after="120"/>
      </w:pPr>
      <w:r>
        <w:t>deletion of AML records is either misunderstanding the obligation or planning to</w:t>
      </w:r>
    </w:p>
    <w:p>
      <w:pPr>
        <w:spacing w:after="120"/>
      </w:pPr>
      <w:r>
        <w:t>breach it.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8. Data subject rights</w:t>
      </w:r>
    </w:p>
    <w:p>
      <w:pPr>
        <w:spacing w:after="120"/>
      </w:pPr>
      <w:r>
        <w:t>Paylode fulfils access, rectification, erasure, restriction, portability and</w:t>
      </w:r>
    </w:p>
    <w:p>
      <w:pPr>
        <w:spacing w:after="120"/>
      </w:pPr>
      <w:r>
        <w:t xml:space="preserve">objection requests </w:t>
      </w:r>
      <w:r>
        <w:rPr>
          <w:b/>
        </w:rPr>
        <w:t>within 30 days</w:t>
      </w:r>
      <w:r>
        <w:t xml:space="preserve"> of a verified request, extendable once by a</w:t>
      </w:r>
    </w:p>
    <w:p>
      <w:pPr>
        <w:spacing w:after="120"/>
      </w:pPr>
      <w:r>
        <w:t>further 30 days with notice to the requester.</w:t>
      </w:r>
    </w:p>
    <w:p>
      <w:pPr>
        <w:spacing w:after="120"/>
      </w:pPr>
      <w:r>
        <w:t xml:space="preserve">Requests are received at </w:t>
      </w:r>
      <w:r>
        <w:rPr>
          <w:rFonts w:ascii="Consolas" w:hAnsi="Consolas"/>
          <w:sz w:val="18"/>
        </w:rPr>
        <w:t>dpo@paylodeservices.com</w:t>
      </w:r>
      <w:r>
        <w:t xml:space="preserve"> or through the published</w:t>
      </w:r>
    </w:p>
    <w:p>
      <w:pPr>
        <w:spacing w:after="120"/>
      </w:pPr>
      <w:r>
        <w:t>self-service deletion pages on the Paylode website.</w:t>
      </w:r>
    </w:p>
    <w:p>
      <w:pPr>
        <w:spacing w:after="120"/>
      </w:pPr>
      <w:r>
        <w:rPr>
          <w:b/>
        </w:rPr>
        <w:t>Where Paylode acts as processor</w:t>
      </w:r>
      <w:r>
        <w:t>, a request received directly is forwarded to the</w:t>
      </w:r>
    </w:p>
    <w:p>
      <w:pPr>
        <w:spacing w:after="120"/>
      </w:pPr>
      <w:r>
        <w:t xml:space="preserve">controller within </w:t>
      </w:r>
      <w:r>
        <w:rPr>
          <w:b/>
        </w:rPr>
        <w:t>3 business days</w:t>
      </w:r>
      <w:r>
        <w:t xml:space="preserve"> and is actioned only on the controller's</w:t>
      </w:r>
    </w:p>
    <w:p>
      <w:pPr>
        <w:spacing w:after="120"/>
      </w:pPr>
      <w:r>
        <w:t>instruction. Every request and its outcome is recorded in the data subject request</w:t>
      </w:r>
    </w:p>
    <w:p>
      <w:pPr>
        <w:spacing w:after="120"/>
      </w:pPr>
      <w:r>
        <w:t>log.</w:t>
      </w:r>
    </w:p>
    <w:p>
      <w:pPr>
        <w:spacing w:after="120"/>
      </w:pPr>
      <w:r>
        <w:rPr>
          <w:b/>
        </w:rPr>
        <w:t>Statutory carve-out.</w:t>
      </w:r>
      <w:r>
        <w:t xml:space="preserve"> Erasure does not extend to records Paylode must retain</w:t>
      </w:r>
    </w:p>
    <w:p>
      <w:pPr>
        <w:spacing w:after="120"/>
      </w:pPr>
      <w:r>
        <w:t>under CBN AML/CFT rules. The requester and the controller are told this explicitly,</w:t>
      </w:r>
    </w:p>
    <w:p>
      <w:pPr>
        <w:spacing w:after="120"/>
      </w:pPr>
      <w:r>
        <w:t>with the retention basis and the date on which the record becomes erasable.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9. Cross-border transfer and data residency</w:t>
      </w:r>
    </w:p>
    <w:p>
      <w:pPr>
        <w:spacing w:after="120"/>
      </w:pPr>
      <w:r>
        <w:t>Personal data of Nigerian data subjects is processed within Nigeria wherever</w:t>
      </w:r>
    </w:p>
    <w:p>
      <w:pPr>
        <w:spacing w:after="120"/>
      </w:pPr>
      <w:r>
        <w:t>possible. Where a sub-processor operates outside Nigeria, transfer proceeds only on</w:t>
      </w:r>
    </w:p>
    <w:p>
      <w:pPr>
        <w:spacing w:after="120"/>
      </w:pPr>
      <w:r>
        <w:t>a lawful mechanism under the NDPA — adequacy, standard contractual clauses, or</w:t>
      </w:r>
    </w:p>
    <w:p>
      <w:pPr>
        <w:spacing w:after="120"/>
      </w:pPr>
      <w:r>
        <w:t>another permitted basis — recorded in the sub-processor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Processing location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Transfer mechanism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 and PostgreSQL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All transactional and Bank data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 document storage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 document images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(anycast edge)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CDN / TLS termination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In transit only; no payload at rest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10. Sub-processors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Sub-processor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Bank data?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Safeguard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Hosting provider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 and database hosting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 — all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CDN / edge provider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TLS, CDN, DDoS, DNS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 transit only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PalmPay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rail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Nigeria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Parallex Bank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rail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Nigeria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Interswitch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Card switching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Nigeria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KYC / identity provider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BVN, NIN, corporate verification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Nigeria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storage provider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KYC document images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SMS / messaging provider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Notification delivery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Only where a merchant configures it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Nigeria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provider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Transactional email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Only where a merchant configures it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control and CI provider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code; no production data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spacing w:after="120"/>
      </w:pPr>
      <w:r>
        <w:t>**Adding Alpha Morgan Bank as a rail does not expose Bank data to Paylode's other</w:t>
      </w:r>
    </w:p>
    <w:p>
      <w:pPr>
        <w:spacing w:after="120"/>
      </w:pPr>
      <w:r>
        <w:t>payment rails.** Rails 3, 4 and 5 above are alternatives to the Bank, not</w:t>
      </w:r>
    </w:p>
    <w:p>
      <w:pPr>
        <w:spacing w:after="120"/>
      </w:pPr>
      <w:r>
        <w:t>downstream recipients of its data.</w:t>
      </w:r>
    </w:p>
    <w:p>
      <w:pPr>
        <w:spacing w:after="120"/>
      </w:pPr>
      <w:r>
        <w:rPr>
          <w:b/>
        </w:rPr>
        <w:t>Change notification.</w:t>
      </w:r>
      <w:r>
        <w:t xml:space="preserve"> Paylode will give the Bank **not less than 30 days' written</w:t>
      </w:r>
    </w:p>
    <w:p>
      <w:pPr>
        <w:spacing w:after="120"/>
      </w:pPr>
      <w:r>
        <w:t>notice** before any new sub-processor gains access to Bank data, with a right to</w:t>
      </w:r>
    </w:p>
    <w:p>
      <w:pPr>
        <w:spacing w:after="120"/>
      </w:pPr>
      <w:r>
        <w:t>object. Emergency substitution is notified immediately with the reason and the</w:t>
      </w:r>
    </w:p>
    <w:p>
      <w:pPr>
        <w:spacing w:after="120"/>
      </w:pPr>
      <w:r>
        <w:t>controls applied to the replacement.</w:t>
      </w:r>
    </w:p>
    <w:p>
      <w:pPr>
        <w:pStyle w:val="Heading2"/>
      </w:pPr>
      <w:r/>
      <w:r>
        <w:rPr>
          <w:b/>
          <w:color w:val="0B3D5C"/>
          <w:sz w:val="28"/>
        </w:rPr>
        <w:t>11. Data Processing Agreement</w:t>
      </w:r>
    </w:p>
    <w:p>
      <w:pPr>
        <w:spacing w:after="120"/>
      </w:pPr>
      <w:r>
        <w:t>Paylode is ready to execute the Bank's Data Processing Agreement. Paylode's standard</w:t>
      </w:r>
    </w:p>
    <w:p>
      <w:pPr>
        <w:spacing w:after="120"/>
      </w:pPr>
      <w:r>
        <w:t>position, offered for incorporation:</w:t>
      </w:r>
    </w:p>
    <w:p>
      <w:pPr>
        <w:pStyle w:val="ListBullet"/>
        <w:spacing w:after="40"/>
      </w:pPr>
      <w:r>
        <w:t>process Bank data only on the Bank's documented instructions;</w:t>
      </w:r>
    </w:p>
    <w:p>
      <w:pPr>
        <w:pStyle w:val="ListBullet"/>
        <w:spacing w:after="40"/>
      </w:pPr>
      <w:r>
        <w:t>impose confidentiality obligations on every authorised person, surviving termination;</w:t>
      </w:r>
    </w:p>
    <w:p>
      <w:pPr>
        <w:pStyle w:val="ListBullet"/>
        <w:spacing w:after="40"/>
      </w:pPr>
      <w:r>
        <w:t>maintain the technical and organisational measures in section 6;</w:t>
      </w:r>
    </w:p>
    <w:p>
      <w:pPr>
        <w:pStyle w:val="ListBullet"/>
        <w:spacing w:after="40"/>
      </w:pPr>
      <w:r>
        <w:rPr>
          <w:b/>
        </w:rPr>
        <w:t>notify the Bank within 24 hours</w:t>
      </w:r>
      <w:r>
        <w:t xml:space="preserve"> of any actual or suspected breach affecting Bank data;</w:t>
      </w:r>
    </w:p>
    <w:p>
      <w:pPr>
        <w:pStyle w:val="ListBullet"/>
        <w:spacing w:after="40"/>
      </w:pPr>
      <w:r>
        <w:t>not engage a further sub-processor for Bank data without prior written consent;</w:t>
      </w:r>
    </w:p>
    <w:p>
      <w:pPr>
        <w:pStyle w:val="ListBullet"/>
        <w:spacing w:after="40"/>
      </w:pPr>
      <w:r>
        <w:t>assist the Bank with data subject requests, impact assessments and regulatory enquiries;</w:t>
      </w:r>
    </w:p>
    <w:p>
      <w:pPr>
        <w:pStyle w:val="ListBullet"/>
        <w:spacing w:after="40"/>
      </w:pPr>
      <w:r>
        <w:t>submit to audit, or provide an equivalent independent report;</w:t>
      </w:r>
    </w:p>
    <w:p>
      <w:pPr>
        <w:pStyle w:val="ListBullet"/>
        <w:spacing w:after="40"/>
      </w:pPr>
      <w:r>
        <w:t>on termination, return or destroy Bank data per section 12 and certify it.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12. Contract termination and data disposal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Paylode's position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or deletion of Bank data at contract end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Bank data is exported in an agreed machine-readable format if requested, then deleted from primary systems within </w:t>
            </w:r>
            <w:r>
              <w:rPr>
                <w:b/>
                <w:sz w:val="18"/>
              </w:rPr>
              <w:t>30 days</w:t>
            </w:r>
            <w:r>
              <w:rPr>
                <w:sz w:val="18"/>
              </w:rPr>
              <w:t xml:space="preserve"> of the termination notice. Backups expire within </w:t>
            </w:r>
            <w:r>
              <w:rPr>
                <w:b/>
                <w:sz w:val="18"/>
              </w:rPr>
              <w:t>90 days</w:t>
            </w:r>
            <w:r>
              <w:rPr>
                <w:sz w:val="18"/>
              </w:rPr>
              <w:t xml:space="preserve"> as the rolling cycle completes.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Secure-erase method and certification standard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NIST SP 800-88 Rev. 1</w:t>
            </w:r>
            <w:r>
              <w:rPr>
                <w:sz w:val="18"/>
              </w:rPr>
              <w:t xml:space="preserve"> — cryptographic erase for encrypted volumes; </w:t>
            </w:r>
            <w:r>
              <w:rPr>
                <w:rFonts w:ascii="Consolas" w:hAnsi="Consolas"/>
                <w:sz w:val="18"/>
              </w:rPr>
              <w:t>Clear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Purge</w:t>
            </w:r>
            <w:r>
              <w:rPr>
                <w:sz w:val="18"/>
              </w:rPr>
              <w:t xml:space="preserve"> as applicable. A </w:t>
            </w:r>
            <w:r>
              <w:rPr>
                <w:b/>
                <w:sz w:val="18"/>
              </w:rPr>
              <w:t>certificate of destruction</w:t>
            </w:r>
            <w:r>
              <w:rPr>
                <w:sz w:val="18"/>
              </w:rPr>
              <w:t xml:space="preserve"> is issued to the Bank.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Sub-processor deletion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Sub-processors are instructed within </w:t>
            </w:r>
            <w:r>
              <w:rPr>
                <w:b/>
                <w:sz w:val="18"/>
              </w:rPr>
              <w:t>5 business days</w:t>
            </w:r>
            <w:r>
              <w:rPr>
                <w:sz w:val="18"/>
              </w:rPr>
              <w:t xml:space="preserve"> and written confirmations are collected and provided to the Bank.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Deletion from backups on a data subject erasure request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primary systems within 30 days; backups on the rolling 90-day cycle. Subject to the AML retention carve-out in section 7.2.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Contractual timeframe following termination notice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 days</w:t>
            </w:r>
            <w:r>
              <w:rPr>
                <w:sz w:val="18"/>
              </w:rPr>
              <w:t xml:space="preserve"> for primary systems; </w:t>
            </w:r>
            <w:r>
              <w:rPr>
                <w:b/>
                <w:sz w:val="18"/>
              </w:rPr>
              <w:t>90 days</w:t>
            </w:r>
            <w:r>
              <w:rPr>
                <w:sz w:val="18"/>
              </w:rPr>
              <w:t xml:space="preserve"> for full backup expiry.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Protection if Paylode becomes insolvent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Bank data is held as bailee, is </w:t>
            </w:r>
            <w:r>
              <w:rPr>
                <w:b/>
                <w:sz w:val="18"/>
              </w:rPr>
              <w:t>not a Paylode asset</w:t>
            </w:r>
            <w:r>
              <w:rPr>
                <w:sz w:val="18"/>
              </w:rPr>
              <w:t>, and is not available to creditors. The agreement should record a step-in or escrow right, a standing instruction for return or destruction, and immediate notification of any insolvency event. *To be settled by legal counsel.*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13. Non-production environments</w:t>
      </w:r>
    </w:p>
    <w:p>
      <w:pPr>
        <w:spacing w:after="120"/>
      </w:pPr>
      <w:r>
        <w:t>**Production personal data must not be copied into development, test or staging</w:t>
      </w:r>
    </w:p>
    <w:p>
      <w:pPr>
        <w:spacing w:after="120"/>
      </w:pPr>
      <w:r>
        <w:t>environments.** This prohibition admits no exception.</w:t>
      </w:r>
    </w:p>
    <w:p>
      <w:pPr>
        <w:spacing w:after="120"/>
      </w:pPr>
      <w:r>
        <w:t>Sandbox environments are seeded with synthetic data. Separation is enforced by</w:t>
      </w:r>
    </w:p>
    <w:p>
      <w:pPr>
        <w:spacing w:after="120"/>
      </w:pPr>
      <w:r>
        <w:t>credential — sandbox and live API keys are distinct, every transaction record</w:t>
      </w:r>
    </w:p>
    <w:p>
      <w:pPr>
        <w:spacing w:after="120"/>
      </w:pPr>
      <w:r>
        <w:t>carries an environment flag, and live money movement additionally requires an</w:t>
      </w:r>
    </w:p>
    <w:p>
      <w:pPr>
        <w:spacing w:after="120"/>
      </w:pPr>
      <w:r>
        <w:t>administrator to enable live mode on the merchant.</w:t>
      </w:r>
    </w:p>
    <w:p>
      <w:pPr>
        <w:spacing w:after="120"/>
      </w:pPr>
      <w:r>
        <w:t>**Answer to the Bank's question "Will any Bank data be used in non-production</w:t>
      </w:r>
    </w:p>
    <w:p>
      <w:pPr>
        <w:spacing w:after="120"/>
      </w:pPr>
      <w:r>
        <w:t>environments?" — No.**</w:t>
      </w:r>
    </w:p>
    <w:p>
      <w:pPr>
        <w:pStyle w:val="Heading2"/>
      </w:pPr>
      <w:r/>
      <w:r>
        <w:rPr>
          <w:b/>
          <w:color w:val="0B3D5C"/>
          <w:sz w:val="28"/>
        </w:rPr>
        <w:t>14. Privacy by design</w:t>
      </w:r>
    </w:p>
    <w:p>
      <w:pPr>
        <w:spacing w:after="120"/>
      </w:pPr>
      <w:r>
        <w:t>Features handling personal data undergo a Data Protection Impact Assessment before</w:t>
      </w:r>
    </w:p>
    <w:p>
      <w:pPr>
        <w:spacing w:after="120"/>
      </w:pPr>
      <w:r>
        <w:t>release where the processing is high risk. New data fields are added only with a</w:t>
      </w:r>
    </w:p>
    <w:p>
      <w:pPr>
        <w:spacing w:after="120"/>
      </w:pPr>
      <w:r>
        <w:t>recorded purpose, lawful basis and retention period.</w:t>
      </w:r>
    </w:p>
    <w:p>
      <w:pPr>
        <w:pStyle w:val="Heading2"/>
      </w:pPr>
      <w:r/>
      <w:r>
        <w:rPr>
          <w:b/>
          <w:color w:val="0B3D5C"/>
          <w:sz w:val="28"/>
        </w:rPr>
        <w:t>15. Breach notification</w:t>
      </w:r>
    </w:p>
    <w:p>
      <w:pPr>
        <w:spacing w:after="120"/>
      </w:pPr>
      <w:r>
        <w:t xml:space="preserve">Governed by </w:t>
      </w:r>
      <w:r>
        <w:rPr>
          <w:b/>
        </w:rPr>
        <w:t>PSL-EV-02 — Incident Response and Business Continuity Policy</w:t>
      </w:r>
      <w:r>
        <w:t>,</w:t>
      </w:r>
    </w:p>
    <w:p>
      <w:pPr>
        <w:spacing w:after="120"/>
      </w:pPr>
      <w:r>
        <w:t>section 6. In summary: the NDPC within 72 hours of awareness; **Alpha Morgan Bank</w:t>
      </w:r>
    </w:p>
    <w:p>
      <w:pPr>
        <w:spacing w:after="120"/>
      </w:pPr>
      <w:r>
        <w:t>within 24 hours of confirmed impact**; affected data subjects without undue delay</w:t>
      </w:r>
    </w:p>
    <w:p>
      <w:pPr>
        <w:spacing w:after="120"/>
      </w:pPr>
      <w:r>
        <w:t>where the risk to their rights is high.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Signature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issue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Next review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