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3D5C"/>
          <w:sz w:val="38"/>
        </w:rPr>
        <w:t>Vulnerability Management Report</w:t>
      </w:r>
    </w:p>
    <w:p>
      <w:pPr>
        <w:spacing w:after="120"/>
      </w:pPr>
      <w:r>
        <w:rPr>
          <w:b/>
        </w:rPr>
        <w:t>Paylode Services Limited</w:t>
      </w:r>
      <w:r>
        <w:t xml:space="preserve"> · CBN-licensed Payment Solution Service Provider</w:t>
      </w:r>
    </w:p>
    <w:p>
      <w:pPr>
        <w:spacing w:after="120"/>
      </w:pPr>
      <w:r>
        <w:t xml:space="preserve">Prepared for: </w:t>
      </w:r>
      <w:r>
        <w:rPr>
          <w:b/>
        </w:rPr>
        <w:t>Alpha Morgan Bank — Information Security Division</w:t>
      </w:r>
    </w:p>
    <w:p>
      <w:pPr>
        <w:spacing w:after="120"/>
      </w:pPr>
      <w:r>
        <w:t xml:space="preserve">Assessment reference: </w:t>
      </w:r>
      <w:r>
        <w:rPr>
          <w:b/>
        </w:rPr>
        <w:t>AMB-ISO-VRQ-019</w:t>
      </w:r>
      <w:r>
        <w:t xml:space="preserve"> · Classification: </w:t>
      </w:r>
      <w:r>
        <w:rPr>
          <w:b/>
        </w:rPr>
        <w:t>CONFIDENTIAL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PSL-EV-05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Reporting period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Addresses questionnaire items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8.1–8.6, 5.4, 4.6, 6.9, 11.5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1. Executive summary</w:t>
      </w:r>
    </w:p>
    <w:p>
      <w:pPr>
        <w:spacing w:after="120"/>
      </w:pPr>
      <w:r>
        <w:t>This report presents the results of a **software composition analysis of the</w:t>
      </w:r>
    </w:p>
    <w:p>
      <w:pPr>
        <w:spacing w:after="120"/>
      </w:pPr>
      <w:r>
        <w:t>Paylode backend dependency tree**, performed against the committed dependency</w:t>
      </w:r>
    </w:p>
    <w:p>
      <w:pPr>
        <w:spacing w:after="120"/>
      </w:pPr>
      <w:r>
        <w:t>lockfile, together with the vulnerability management programme under which findings</w:t>
      </w:r>
    </w:p>
    <w:p>
      <w:pPr>
        <w:spacing w:after="120"/>
      </w:pPr>
      <w:r>
        <w:t>are triaged and remediated.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Scan type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Software Composition Analysis (dependency tree)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Scope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Paylode backend — production and development dependencies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dependencies analysed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327</w:t>
            </w:r>
            <w:r>
              <w:rPr>
                <w:sz w:val="18"/>
              </w:rPr>
              <w:t xml:space="preserve"> (291 production, 27 development, 10 optional)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Moderate findings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Low findings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Findings with an available fix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6 of 7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Findings requiring a compensating control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 (</w:t>
            </w:r>
            <w:r>
              <w:rPr>
                <w:rFonts w:ascii="Consolas" w:hAnsi="Consolas"/>
                <w:sz w:val="18"/>
              </w:rPr>
              <w:t>xlsx</w:t>
            </w:r>
            <w:r>
              <w:rPr>
                <w:sz w:val="18"/>
              </w:rPr>
              <w:t>)</w:t>
            </w:r>
          </w:p>
        </w:tc>
      </w:tr>
    </w:tbl>
    <w:p/>
    <w:p>
      <w:pPr>
        <w:spacing w:after="120"/>
      </w:pPr>
      <w:r>
        <w:rPr>
          <w:b/>
        </w:rPr>
        <w:t>No critical-severity vulnerability is present in the platform's dependency tree.</w:t>
      </w:r>
    </w:p>
    <w:p>
      <w:pPr>
        <w:spacing w:after="120"/>
      </w:pPr>
      <w:r>
        <w:t>Of the seven findings, six have an upstream fix available and are scheduled under</w:t>
      </w:r>
    </w:p>
    <w:p>
      <w:pPr>
        <w:spacing w:after="120"/>
      </w:pPr>
      <w:r>
        <w:t>the service levels in section 5. The seventh has no upstream fix and is managed by</w:t>
      </w:r>
    </w:p>
    <w:p>
      <w:pPr>
        <w:spacing w:after="120"/>
      </w:pPr>
      <w:r>
        <w:t>the compensating controls set out in section 4.1.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2. Scan results</w:t>
      </w:r>
    </w:p>
    <w:p>
      <w:pPr>
        <w:pStyle w:val="Heading3"/>
      </w:pPr>
      <w:r/>
      <w:r>
        <w:rPr>
          <w:b/>
          <w:color w:val="0B3D5C"/>
          <w:sz w:val="24"/>
        </w:rPr>
        <w:t>2.1 Findings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Affected range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Depth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Highest CVSS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Fix available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brace-expansion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3.0.0 - 5.0.8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Transitive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7.5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non-breaking</w:t>
            </w:r>
          </w:p>
        </w:tc>
      </w:tr>
      <w:tr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nodemailer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&lt;=9.0.0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7.5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nodemailer@10.0.1 (</w:t>
            </w:r>
            <w:r>
              <w:rPr>
                <w:b/>
                <w:sz w:val="18"/>
              </w:rPr>
              <w:t>major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xlsx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*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7.8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upstream fix</w:t>
            </w:r>
          </w:p>
        </w:tc>
      </w:tr>
      <w:tr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body-parser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MODERATE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&lt;=1.20.6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Transitive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3.7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non-breaking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express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MODERATE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4.22.2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non-breaking</w:t>
            </w:r>
          </w:p>
        </w:tc>
      </w:tr>
      <w:tr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qs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MODERATE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2.2.5 - 6.15.3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Transitive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5.3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non-breaking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uuid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MODERATE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&lt;11.1.1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7.5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uuid@14.0.2 (</w:t>
            </w:r>
            <w:r>
              <w:rPr>
                <w:b/>
                <w:sz w:val="18"/>
              </w:rPr>
              <w:t>major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/>
      <w:r>
        <w:rPr>
          <w:b/>
          <w:color w:val="0B3D5C"/>
          <w:sz w:val="24"/>
        </w:rPr>
        <w:t>Advisory detail</w:t>
      </w:r>
    </w:p>
    <w:p>
      <w:pPr>
        <w:spacing w:after="120"/>
      </w:pPr>
      <w:r>
        <w:rPr>
          <w:b/>
        </w:rPr>
        <w:t>`brace-expansion`</w:t>
      </w:r>
      <w:r>
        <w:t xml:space="preserve"> — HIGH, 3 advisories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Advisory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CVSS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Weakness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GHSA-3jxr-9vmj-r5cp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brace-expansion: DoS via exponential-time expansion of consecutive non-expanding {} groups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5.3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CWE-400, CWE-407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GHSA-mh99-v99m-4gvg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brace-expansion: DoS via unbounded expansion length causing an out-of-memory process crash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7.5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CWE-400, CWE-770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GHSA-rgw5-rvv9-x895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brace-expansion: DoS via unbounded intermediate arrays, bypassing the CVE-2026-14257 mitigation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7.5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CWE-400, CWE-770</w:t>
            </w:r>
          </w:p>
        </w:tc>
      </w:tr>
    </w:tbl>
    <w:p/>
    <w:p>
      <w:pPr>
        <w:spacing w:after="120"/>
      </w:pPr>
      <w:r>
        <w:rPr>
          <w:b/>
        </w:rPr>
        <w:t>`nodemailer`</w:t>
      </w:r>
      <w:r>
        <w:t xml:space="preserve"> — HIGH, 8 advisories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Advisory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CVSS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Weakness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GHSA-mm7p-fcc7-pg87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Nodemailer: Email to an unintended domain can occur due to Interpretation Conflict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CWE-20, CWE-436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GHSA-c7w3-x93f-qmm8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Nodemailer has SMTP command injection due to unsanitized </w:t>
            </w:r>
            <w:r>
              <w:rPr>
                <w:rFonts w:ascii="Consolas" w:hAnsi="Consolas"/>
                <w:sz w:val="18"/>
              </w:rPr>
              <w:t>envelope.size</w:t>
            </w:r>
            <w:r>
              <w:rPr>
                <w:sz w:val="18"/>
              </w:rPr>
              <w:t xml:space="preserve"> parameter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CWE-93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GHSA-vvjj-xcjg-gr5g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Nodemailer Vulnerable to SMTP Command Injection via CRLF in Transport name Option (EHLO/HELO)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4.9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CWE-93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GHSA-268h-hp4c-crq3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Nodemailer: CRLF injection in Nodemailer List-* header comments allows arbitrary message header injection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5.4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CWE-93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GHSA-wqvq-jvpq-h66f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Nodemailer jsonTransport bypasses disableFileAccess and disableUrlAccess during message normalization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5.4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CWE-862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GHSA-r7g4-qg5f-qqm2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Nodemailer: Improper TLS Certificate Validation in OAuth2 Token Fetch Enables Credential Interception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6.5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CWE-295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GHSA-rcmh-qjqh-p98v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Nodemailer’s addressparser is vulnerable to DoS caused by recursive calls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7.5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CWE-703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GHSA-p6gq-j5cr-w38f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Nodemailer: Message-level raw option bypasses disableFileAccess/disableUrlAccess, enabling arbitrary file read and full-response SSRF in the delivered message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7.1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CWE-73, CWE-918</w:t>
            </w:r>
          </w:p>
        </w:tc>
      </w:tr>
    </w:tbl>
    <w:p/>
    <w:p>
      <w:pPr>
        <w:spacing w:after="120"/>
      </w:pPr>
      <w:r>
        <w:rPr>
          <w:b/>
        </w:rPr>
        <w:t>`xlsx`</w:t>
      </w:r>
      <w:r>
        <w:t xml:space="preserve"> — HIGH, 2 advisories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Advisory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CVSS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Weakness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GHSA-4r6h-8v6p-xvw6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Prototype Pollution in sheetJS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7.8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CWE-1321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GHSA-5pgg-2g8v-p4x9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SheetJS Regular Expression Denial of Service (ReDoS)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7.5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CWE-1333</w:t>
            </w:r>
          </w:p>
        </w:tc>
      </w:tr>
    </w:tbl>
    <w:p/>
    <w:p>
      <w:pPr>
        <w:spacing w:after="120"/>
      </w:pPr>
      <w:r>
        <w:rPr>
          <w:b/>
        </w:rPr>
        <w:t>`body-parser`</w:t>
      </w:r>
      <w:r>
        <w:t xml:space="preserve"> — MODERATE, 1 advisory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Advisory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CVSS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Weakness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GHSA-v422-hmwv-36x6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body-parser vulnerable to denial of service when invalid limit value silently disables size enforcement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3.7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CWE-770</w:t>
            </w:r>
          </w:p>
        </w:tc>
      </w:tr>
    </w:tbl>
    <w:p/>
    <w:p>
      <w:pPr>
        <w:spacing w:after="120"/>
      </w:pPr>
      <w:r>
        <w:rPr>
          <w:b/>
        </w:rPr>
        <w:t>`qs`</w:t>
      </w:r>
      <w:r>
        <w:t xml:space="preserve"> — MODERATE, 2 advisories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Advisory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CVSS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Weakness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GHSA-x5fp-wj9c-mxmx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qs array-limit bypass via bracket-key comma parsing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3.7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CWE-770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GHSA-4mjr-xmp4-gh2g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qs: Denial of Service via Attacker Controlled isBuffer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5.3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CWE-248, CWE-703</w:t>
            </w:r>
          </w:p>
        </w:tc>
      </w:tr>
    </w:tbl>
    <w:p/>
    <w:p>
      <w:pPr>
        <w:spacing w:after="120"/>
      </w:pPr>
      <w:r>
        <w:rPr>
          <w:b/>
        </w:rPr>
        <w:t>`uuid`</w:t>
      </w:r>
      <w:r>
        <w:t xml:space="preserve"> — MODERATE, 1 advisory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Advisory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CVSS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Weakness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GHSA-w5hq-g745-h8pq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uuid: Missing buffer bounds check in v3/v5/v6 when buf is provided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7.5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CWE-787, CWE-1285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3. Risk assessment in the Paylode context</w:t>
      </w:r>
    </w:p>
    <w:p>
      <w:pPr>
        <w:spacing w:after="120"/>
      </w:pPr>
      <w:r>
        <w:t>A CVSS base score describes a vulnerability in the abstract. What matters to the</w:t>
      </w:r>
    </w:p>
    <w:p>
      <w:pPr>
        <w:spacing w:after="120"/>
      </w:pPr>
      <w:r>
        <w:t xml:space="preserve">Bank is whether the vulnerable code is </w:t>
      </w:r>
      <w:r>
        <w:rPr>
          <w:b/>
        </w:rPr>
        <w:t>reachable</w:t>
      </w:r>
      <w:r>
        <w:t xml:space="preserve">, by </w:t>
      </w:r>
      <w:r>
        <w:rPr>
          <w:b/>
        </w:rPr>
        <w:t>whom</w:t>
      </w:r>
      <w:r>
        <w:t>, and what it</w:t>
      </w:r>
    </w:p>
    <w:p>
      <w:pPr>
        <w:spacing w:after="120"/>
      </w:pPr>
      <w:r>
        <w:t>touches. Each finding is assessed against the deployed platform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Reachability in Paylode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Contextual risk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xlsx</w:t>
            </w:r>
            <w:r>
              <w:rPr>
                <w:sz w:val="18"/>
              </w:rPr>
              <w:t xml:space="preserve"> (SheetJS) — prototype pollution, ReDoS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Reachable at two </w:t>
            </w:r>
            <w:r>
              <w:rPr>
                <w:b/>
                <w:sz w:val="18"/>
              </w:rPr>
              <w:t>authenticated</w:t>
            </w:r>
            <w:r>
              <w:rPr>
                <w:sz w:val="18"/>
              </w:rPr>
              <w:t xml:space="preserve"> statement-upload endpoints, both bounded by an upload size cap.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reachable from the payout batch upload, which rejects spreadsheet formats and accepts CSV only.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Medium.</w:t>
            </w:r>
            <w:r>
              <w:rPr>
                <w:sz w:val="18"/>
              </w:rPr>
              <w:t xml:space="preserve"> Requires an authenticated merchant session. No unauthenticated path exists.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nodemailer</w:t>
            </w:r>
            <w:r>
              <w:rPr>
                <w:sz w:val="18"/>
              </w:rPr>
              <w:t xml:space="preserve"> — SMTP command injection, header injection, SSRF, TLS validation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Reachable in transactional email dispatch. Message content is system-generated from templates rather than assembled from raw user input.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Medium.</w:t>
            </w:r>
            <w:r>
              <w:rPr>
                <w:sz w:val="18"/>
              </w:rPr>
              <w:t xml:space="preserve"> Patch is a major version upgrade requiring regression testing of the email path.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brace-expansion</w:t>
            </w:r>
            <w:r>
              <w:rPr>
                <w:sz w:val="18"/>
              </w:rPr>
              <w:t xml:space="preserve"> — denial of service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Transitive; reached only through build and glob tooling, not through request handling.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Low.</w:t>
            </w:r>
            <w:r>
              <w:rPr>
                <w:sz w:val="18"/>
              </w:rPr>
              <w:t xml:space="preserve"> Not on any request-serving path.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body-parser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express</w:t>
            </w:r>
            <w:r>
              <w:rPr>
                <w:sz w:val="18"/>
              </w:rPr>
              <w:t xml:space="preserve"> — request-parsing denial of service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 the request path, but </w:t>
            </w:r>
            <w:r>
              <w:rPr>
                <w:b/>
                <w:sz w:val="18"/>
              </w:rPr>
              <w:t>mitigated in front</w:t>
            </w:r>
            <w:r>
              <w:rPr>
                <w:sz w:val="18"/>
              </w:rPr>
              <w:t>: a 2 MB body limit, three tiers of rate limiting, and edge DDoS absorption.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Low.</w:t>
            </w:r>
            <w:r>
              <w:rPr>
                <w:sz w:val="18"/>
              </w:rPr>
              <w:t xml:space="preserve"> Non-breaking patch available.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uuid</w:t>
            </w:r>
            <w:r>
              <w:rPr>
                <w:sz w:val="18"/>
              </w:rPr>
              <w:t xml:space="preserve"> — missing buffer bounds check in v3/v5/v6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The platform uses randomly generated identifiers, not the affected name-based variants with a caller-supplied buffer.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Low.</w:t>
            </w:r>
            <w:r>
              <w:rPr>
                <w:sz w:val="18"/>
              </w:rPr>
              <w:t xml:space="preserve"> Affected code path not exercised.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4. Remediation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body-parser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express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Apply the non-breaking dependency update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brace-expansion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Apply the non-breaking dependency update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uuid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Major version upgrade; verify identifier generation is unaffected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Upgrade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nodemailer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Major version upgrade; regression-test the transactional email path before deployment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Upgrade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xlsx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No upstream fix — apply compensating controls (4.1) and evaluate migration to a maintained parser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Compensating control + replacement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</w:tr>
    </w:tbl>
    <w:p/>
    <w:p>
      <w:pPr>
        <w:pStyle w:val="Heading3"/>
      </w:pPr>
      <w:r/>
      <w:r>
        <w:rPr>
          <w:b/>
          <w:color w:val="0B3D5C"/>
          <w:sz w:val="24"/>
        </w:rPr>
        <w:t>4.1 Compensating controls for `xlsx`</w:t>
      </w:r>
    </w:p>
    <w:p>
      <w:pPr>
        <w:spacing w:after="120"/>
      </w:pPr>
      <w:r>
        <w:t>Until the parser is replaced, the following controls constrain the exposure:</w:t>
      </w:r>
    </w:p>
    <w:p>
      <w:pPr>
        <w:pStyle w:val="ListNumber"/>
        <w:spacing w:after="40"/>
      </w:pPr>
      <w:r>
        <w:rPr>
          <w:b/>
        </w:rPr>
        <w:t>Authentication required</w:t>
      </w:r>
      <w:r>
        <w:t xml:space="preserve"> — both reachable endpoints sit behind session or</w:t>
      </w:r>
    </w:p>
    <w:p>
      <w:pPr>
        <w:spacing w:after="120"/>
      </w:pPr>
      <w:r>
        <w:t>tenant authentication; there is no anonymous path to the parser.</w:t>
      </w:r>
    </w:p>
    <w:p>
      <w:pPr>
        <w:pStyle w:val="ListNumber"/>
        <w:spacing w:after="40"/>
      </w:pPr>
      <w:r>
        <w:rPr>
          <w:b/>
        </w:rPr>
        <w:t>Upload size caps</w:t>
      </w:r>
      <w:r>
        <w:t xml:space="preserve"> — enforced before parsing, bounding the resource-exhaustion</w:t>
      </w:r>
    </w:p>
    <w:p>
      <w:pPr>
        <w:spacing w:after="120"/>
      </w:pPr>
      <w:r>
        <w:t>surface.</w:t>
      </w:r>
    </w:p>
    <w:p>
      <w:pPr>
        <w:pStyle w:val="ListNumber"/>
        <w:spacing w:after="40"/>
      </w:pPr>
      <w:r>
        <w:rPr>
          <w:b/>
        </w:rPr>
        <w:t>Process isolation</w:t>
      </w:r>
      <w:r>
        <w:t xml:space="preserve"> — the wallet reconciliation endpoint runs in a separate</w:t>
      </w:r>
    </w:p>
    <w:p>
      <w:pPr>
        <w:spacing w:after="120"/>
      </w:pPr>
      <w:r>
        <w:t>operating-system process from the money core, so a parser crash there cannot</w:t>
      </w:r>
    </w:p>
    <w:p>
      <w:pPr>
        <w:spacing w:after="120"/>
      </w:pPr>
      <w:r>
        <w:t>interrupt collections or payouts.</w:t>
      </w:r>
    </w:p>
    <w:p>
      <w:pPr>
        <w:pStyle w:val="ListNumber"/>
        <w:spacing w:after="40"/>
      </w:pPr>
      <w:r>
        <w:rPr>
          <w:b/>
        </w:rPr>
        <w:t>Restart on failure</w:t>
      </w:r>
      <w:r>
        <w:t xml:space="preserve"> — the process manager restarts a crashed worker</w:t>
      </w:r>
    </w:p>
    <w:p>
      <w:pPr>
        <w:spacing w:after="120"/>
      </w:pPr>
      <w:r>
        <w:t>automatically.</w:t>
      </w:r>
    </w:p>
    <w:p>
      <w:pPr>
        <w:pStyle w:val="ListNumber"/>
        <w:spacing w:after="40"/>
      </w:pPr>
      <w:r>
        <w:rPr>
          <w:b/>
        </w:rPr>
        <w:t>Scoped data access</w:t>
      </w:r>
      <w:r>
        <w:t xml:space="preserve"> — every query is scoped to the authenticated tenant, so</w:t>
      </w:r>
    </w:p>
    <w:p>
      <w:pPr>
        <w:spacing w:after="120"/>
      </w:pPr>
      <w:r>
        <w:t>parser abuse cannot reach another merchant's records.</w:t>
      </w:r>
    </w:p>
    <w:p>
      <w:pPr>
        <w:spacing w:after="120"/>
      </w:pPr>
      <w:r>
        <w:rPr>
          <w:b/>
        </w:rPr>
        <w:t>Planned replacement:</w:t>
      </w:r>
      <w:r>
        <w:t xml:space="preserve"> migrate statement ingestion to a maintained parser, or</w:t>
      </w:r>
    </w:p>
    <w:p>
      <w:pPr>
        <w:spacing w:after="120"/>
      </w:pPr>
      <w:r>
        <w:t>require CSV for statement upload as the payout batch path already does. The payout</w:t>
      </w:r>
    </w:p>
    <w:p>
      <w:pPr>
        <w:spacing w:after="120"/>
      </w:pPr>
      <w:r>
        <w:t>path demonstrates the pattern is workable.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5. Vulnerability management programme</w:t>
      </w:r>
    </w:p>
    <w:p>
      <w:pPr>
        <w:pStyle w:val="Heading3"/>
      </w:pPr>
      <w:r/>
      <w:r>
        <w:rPr>
          <w:b/>
          <w:color w:val="0B3D5C"/>
          <w:sz w:val="24"/>
        </w:rPr>
        <w:t>5.1 Remediation 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Remediation SLA from advisory publication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72 hours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 days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 days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Next scheduled maintenance window</w:t>
            </w:r>
          </w:p>
        </w:tc>
      </w:tr>
    </w:tbl>
    <w:p/>
    <w:p>
      <w:pPr>
        <w:spacing w:after="120"/>
      </w:pPr>
      <w:r>
        <w:t xml:space="preserve">Where an SLA cannot be met, a </w:t>
      </w:r>
      <w:r>
        <w:rPr>
          <w:b/>
        </w:rPr>
        <w:t>written exception</w:t>
      </w:r>
      <w:r>
        <w:t xml:space="preserve"> is raised recording the control,</w:t>
      </w:r>
    </w:p>
    <w:p>
      <w:pPr>
        <w:spacing w:after="120"/>
      </w:pPr>
      <w:r>
        <w:t>the reason, the compensating controls, the residual risk, an expiry date and the</w:t>
      </w:r>
    </w:p>
    <w:p>
      <w:pPr>
        <w:spacing w:after="120"/>
      </w:pPr>
      <w:r>
        <w:t>approver. Exceptions are reviewed at each board cycle and cannot be open-ended.</w:t>
      </w:r>
    </w:p>
    <w:p>
      <w:pPr>
        <w:pStyle w:val="Heading3"/>
      </w:pPr>
      <w:r/>
      <w:r>
        <w:rPr>
          <w:b/>
          <w:color w:val="0B3D5C"/>
          <w:sz w:val="24"/>
        </w:rPr>
        <w:t>5.2 Scanning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Dependency composition analysis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— on every pull request and on new advisory publication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Engineering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Automated static analysis of application code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pull request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Engineering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 scanning of the repository and its history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Continuous, with a full history scan quarterly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Engineering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Infrastructure and host vulnerability scan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Technical lead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External attack surface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Technical lead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Independent VAPT by a CREST-certified or CBN-recognised firm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Annually</w:t>
            </w:r>
            <w:r>
              <w:rPr>
                <w:sz w:val="18"/>
              </w:rPr>
              <w:t>, and after any significant architectural change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officer</w:t>
            </w:r>
          </w:p>
        </w:tc>
      </w:tr>
    </w:tbl>
    <w:p/>
    <w:p>
      <w:pPr>
        <w:pStyle w:val="Heading3"/>
      </w:pPr>
      <w:r/>
      <w:r>
        <w:rPr>
          <w:b/>
          <w:color w:val="0B3D5C"/>
          <w:sz w:val="24"/>
        </w:rPr>
        <w:t>5.3 Exception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Reason SLA not met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Compensating controls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Residual risk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Expiry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</w:tbl>
    <w:p/>
    <w:p>
      <w:pPr>
        <w:pStyle w:val="Heading3"/>
      </w:pPr>
      <w:r/>
      <w:r>
        <w:rPr>
          <w:b/>
          <w:color w:val="0B3D5C"/>
          <w:sz w:val="24"/>
        </w:rPr>
        <w:t>5.4 Independent penetration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Engagement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Firm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Accreditation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Report reference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External infrastructure, web application, </w:t>
            </w:r>
            <w:r>
              <w:rPr>
                <w:b/>
                <w:sz w:val="18"/>
              </w:rPr>
              <w:t>API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</w:tr>
    </w:tbl>
    <w:p/>
    <w:p>
      <w:pPr>
        <w:spacing w:after="120"/>
      </w:pPr>
      <w:r>
        <w:t>Critical and High findings from an independent test are remediated under the</w:t>
      </w:r>
    </w:p>
    <w:p>
      <w:pPr>
        <w:spacing w:after="120"/>
      </w:pPr>
      <w:r>
        <w:t>service levels in 5.1, or carry an approved, time-bound remediation plan recorded</w:t>
      </w:r>
    </w:p>
    <w:p>
      <w:pPr>
        <w:spacing w:after="120"/>
      </w:pPr>
      <w:r>
        <w:t>in 5.3.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6. Secure development controls reducing vulnerability introduction</w:t>
      </w:r>
    </w:p>
    <w:p>
      <w:pPr>
        <w:spacing w:after="120"/>
      </w:pPr>
      <w:r>
        <w:t>The following controls are in force in the delivery pipeline and reduce the rate at</w:t>
      </w:r>
    </w:p>
    <w:p>
      <w:pPr>
        <w:spacing w:after="120"/>
      </w:pPr>
      <w:r>
        <w:t>which vulnerabilities enter the platform: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Pull-request-only merges to the main branch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No unreviewed code reaches production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Syntax gate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file is parsed before upload; a parse error aborts the entire deployment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Clean-working-tree gate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The deploy tool refuses to ship uncommitted files, so production always corresponds to a reviewable commit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Per-file integrity verification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Checksums compared between source and target after upload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Automatic rollback point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overwritten file is retained on the target host, timestamped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Architecture verification suite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Structural checks on module boundaries, route parity and database access boundaries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Parameterised database access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ORM-based queries; raw SQL only with positional parameters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Input validation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 validation on request bodies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headers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 Security Policy, HSTS, and a strict cross-origin allow-list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Dependency pinning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 committed lockfile, so builds are reproducible and auditable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7. Scan reproducibility</w:t>
      </w:r>
    </w:p>
    <w:p>
      <w:pPr>
        <w:spacing w:after="120"/>
      </w:pPr>
      <w:r>
        <w:t>The Bank may reproduce the dependency findings in section 2 independently. The scan</w:t>
      </w:r>
    </w:p>
    <w:p>
      <w:pPr>
        <w:spacing w:after="120"/>
      </w:pPr>
      <w:r>
        <w:t>was performed against the committed lockfile without requiring an installed</w:t>
      </w:r>
    </w:p>
    <w:p>
      <w:pPr>
        <w:spacing w:after="120"/>
      </w:pPr>
      <w:r>
        <w:t>dependency tree, so the result is deterministic for a given commit.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Analysis target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 dependency lockfile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Runtime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Node.js 18+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Advisory source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 advisory database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Commit reference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Scan date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Prepared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Reviewed by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issue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Next report due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Paylode Services Limited — CONFIDENTIAL — prepared for Alpha Morgan Bank (AMB-ISO-VRQ-019)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