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B3D5C"/>
          <w:sz w:val="38"/>
        </w:rPr>
        <w:t>CBN Risk-Based Cybersecurity Framework — Gap Assessment</w:t>
      </w:r>
    </w:p>
    <w:p>
      <w:pPr>
        <w:spacing w:after="120"/>
      </w:pPr>
      <w:r>
        <w:rPr>
          <w:b/>
        </w:rPr>
        <w:t>Paylode Services Limited</w:t>
      </w:r>
      <w:r>
        <w:t xml:space="preserve"> · CBN-licensed Payment Solution Service Provider</w:t>
      </w:r>
    </w:p>
    <w:p>
      <w:pPr>
        <w:spacing w:after="120"/>
      </w:pPr>
      <w:r>
        <w:t xml:space="preserve">Prepared for: </w:t>
      </w:r>
      <w:r>
        <w:rPr>
          <w:b/>
        </w:rPr>
        <w:t>Alpha Morgan Bank — Information Security Division</w:t>
      </w:r>
    </w:p>
    <w:p>
      <w:pPr>
        <w:spacing w:after="120"/>
      </w:pPr>
      <w:r>
        <w:t xml:space="preserve">Assessment reference: </w:t>
      </w:r>
      <w:r>
        <w:rPr>
          <w:b/>
        </w:rPr>
        <w:t>AMB-ISO-VRQ-019</w:t>
      </w:r>
      <w:r>
        <w:t xml:space="preserve"> · Classification: </w:t>
      </w:r>
      <w:r>
        <w:rPr>
          <w:b/>
        </w:rPr>
        <w:t>CONFIDENTIAL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Document ID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PSL-EV-06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Version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1.0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Framework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CBN Risk-Based Cybersecurity Framework and Guidelines (Payment Service Providers)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Assessment date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Assessed by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Approved by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], Director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Addresses questionnaire items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Section C (CBN framework compliance), 1.1–1.7, 10.1–10.7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1. Purpose and method</w:t>
      </w:r>
    </w:p>
    <w:p>
      <w:pPr>
        <w:spacing w:after="120"/>
      </w:pPr>
      <w:r>
        <w:t xml:space="preserve">This is a </w:t>
      </w:r>
      <w:r>
        <w:rPr>
          <w:b/>
        </w:rPr>
        <w:t>self-assessment</w:t>
      </w:r>
      <w:r>
        <w:t xml:space="preserve"> of Paylode's cybersecurity posture against the seven</w:t>
      </w:r>
    </w:p>
    <w:p>
      <w:pPr>
        <w:spacing w:after="120"/>
      </w:pPr>
      <w:r>
        <w:t>parts of the CBN Risk-Based Cybersecurity Framework applicable to payment service</w:t>
      </w:r>
    </w:p>
    <w:p>
      <w:pPr>
        <w:spacing w:after="120"/>
      </w:pPr>
      <w:r>
        <w:t>providers. It is prepared to support Alpha Morgan Bank's vendor due diligence and</w:t>
      </w:r>
    </w:p>
    <w:p>
      <w:pPr>
        <w:spacing w:after="120"/>
      </w:pPr>
      <w:r>
        <w:t>to drive Paylode's own remediation planning.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val="clear" w:fill="F1F5F9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Note on referencing.</w:t>
            </w:r>
            <w:r>
              <w:rPr>
                <w:sz w:val="19"/>
              </w:rPr>
              <w:t xml:space="preserve"> The part numbering below follows the framework's</w:t>
            </w:r>
          </w:p>
          <w:p>
            <w:r>
              <w:rPr>
                <w:sz w:val="19"/>
              </w:rPr>
              <w:t>structure as Paylode understands it. Clause-level references should be confirmed</w:t>
            </w:r>
          </w:p>
          <w:p>
            <w:r>
              <w:rPr>
                <w:sz w:val="19"/>
              </w:rPr>
              <w:t>against the current circular before this document is relied upon externally, and</w:t>
            </w:r>
          </w:p>
          <w:p>
            <w:r>
              <w:rPr>
                <w:sz w:val="19"/>
              </w:rPr>
              <w:t>the assessment should be validated by an independent assessor before it is</w:t>
            </w:r>
          </w:p>
          <w:p>
            <w:r>
              <w:rPr>
                <w:sz w:val="19"/>
              </w:rPr>
              <w:t>presented as an assurance opinion rather than a self-assessment.</w:t>
            </w:r>
          </w:p>
        </w:tc>
      </w:tr>
    </w:tbl>
    <w:p/>
    <w:p>
      <w:pPr>
        <w:pStyle w:val="Heading3"/>
      </w:pPr>
      <w:r/>
      <w:r>
        <w:rPr>
          <w:b/>
          <w:color w:val="0B3D5C"/>
          <w:sz w:val="24"/>
        </w:rPr>
        <w:t>1.1 Rating scale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Meaning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Implemented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The control operates, is evidenced, and is repeatable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Partial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The control operates in substance but is undocumented, informal, or incomplete in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Planned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The control is designed and scheduled but is not yet operating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 implemented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The control does not operate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b/>
                <w:sz w:val="18"/>
              </w:rPr>
              <w:t>Not applicable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The control addresses a capability Paylode does not have; justification recorded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2. Assessment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rPr>
          <w:tblHeader w:val="true"/>
        </w:trPr>
        <w:tc>
          <w:tcPr>
            <w:tcW w:type="dxa" w:w="1704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Part</w:t>
            </w:r>
          </w:p>
        </w:tc>
        <w:tc>
          <w:tcPr>
            <w:tcW w:type="dxa" w:w="1704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Domain</w:t>
            </w:r>
          </w:p>
        </w:tc>
        <w:tc>
          <w:tcPr>
            <w:tcW w:type="dxa" w:w="1704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Implemented</w:t>
            </w:r>
          </w:p>
        </w:tc>
        <w:tc>
          <w:tcPr>
            <w:tcW w:type="dxa" w:w="1704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Partial</w:t>
            </w:r>
          </w:p>
        </w:tc>
        <w:tc>
          <w:tcPr>
            <w:tcW w:type="dxa" w:w="1704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Planned / Not implemented</w:t>
            </w:r>
          </w:p>
        </w:tc>
        <w:tc>
          <w:tcPr>
            <w:tcW w:type="dxa" w:w="1704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N/A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Cybersecurity Governance and Oversight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]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]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]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]</w:t>
            </w:r>
          </w:p>
        </w:tc>
      </w:tr>
      <w:tr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Cybersecurity Risk Management System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]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]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]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]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Cyber Resilience Assessment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]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]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]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]</w:t>
            </w:r>
          </w:p>
        </w:tc>
      </w:tr>
      <w:tr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Cybersecurity Operational Resilience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]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]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]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]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Cyber Threat Intelligence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]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]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]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]</w:t>
            </w:r>
          </w:p>
        </w:tc>
      </w:tr>
      <w:tr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Metrics, Monitoring and Reporting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]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]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]</w:t>
            </w:r>
          </w:p>
        </w:tc>
        <w:tc>
          <w:tcPr>
            <w:tcW w:type="dxa" w:w="1704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]</w:t>
            </w:r>
          </w:p>
        </w:tc>
      </w:tr>
      <w:tr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Compliance with Statutory and Regulatory Requirements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]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]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]</w:t>
            </w:r>
          </w:p>
        </w:tc>
        <w:tc>
          <w:tcPr>
            <w:tcW w:type="dxa" w:w="1704"/>
          </w:tcPr>
          <w:p>
            <w:r>
              <w:rPr>
                <w:sz w:val="18"/>
              </w:rPr>
            </w:r>
            <w:r>
              <w:rPr>
                <w:sz w:val="18"/>
              </w:rPr>
              <w:t>[    ]</w:t>
            </w:r>
          </w:p>
        </w:tc>
      </w:tr>
    </w:tbl>
    <w:p/>
    <w:p>
      <w:pPr>
        <w:spacing w:after="120"/>
      </w:pPr>
      <w:r>
        <w:t>*Complete after working through sections 3–9.*</w:t>
      </w:r>
    </w:p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3. Part 1 — Cybersecurity Governance and Oversight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Framework requirement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Evidence / basis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Remediation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1.1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Board-approved cybersecurity policy, reviewed at least annually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Information Security Policy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1.2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Board and senior management oversight of cyber risk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Quarterly cyber risk item on the board agenda; minutes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1.3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Appointment of a Chief Information Security Officer or equivalent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Named accountable officer; job description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1.4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Defined cybersecurity roles and responsibilities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RACI matrix in the Information Security Policy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1.5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Cybersecurity strategy aligned to a recognised framework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Mapping to NIST CSF 2.0 and this framework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1.6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Adequate budget and resourcing for cybersecurity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Approved security budget line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1.7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Independent assurance over the cybersecurity programme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Internal audit or independent review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4. Part 2 — Cybersecurity Risk Management System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Framework requirement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Evidence / basis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Remediation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2.1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Documented cyber risk management methodology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Risk methodology in the Information Security Policy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2.2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Maintained risk register covering cyber and data protection risk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Risk register, reviewed quarterly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2.3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Asset inventory and information classification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Four-tier classification and data inventory (PSL-EV-04 §4–5)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2.4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Risk assessment before deploying new systems or services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Change classification; impact assessment for high-risk processing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2.5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Third-party and outsourcing risk management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Sub-processor register and assessment cycle (PSL-EV-04 §10)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2.6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Risk acceptance and exception process with defined authority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Exception register with expiry dates and named approver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2.7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Insurance or other risk transfer considered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Cyber liability cover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5. Part 3 — Cyber Resilience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Framework requirement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Evidence / basis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Remediation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3.1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Periodic vulnerability assessment of internet-facing and connected systems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Vulnerability Management Report (PSL-EV-05)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3.2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Independent penetration testing by a qualified firm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VAPT engagement record (PSL-EV-05 §5.4)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3.3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Remediation of identified findings within defined service levels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Remediation SLAs: Critical 72h, High 7d, Medium 30d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3.4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Secure configuration baselines applied to systems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Host hardening baseline and compliance scan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3.5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Patch management with defined timelines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Patch SLAs aligned to 3.3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3.6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Secure software development practices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Pull-request-only merges; four-stage deploy gate; parameterised queries (PSL-EV-05 §6)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3.7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Business continuity and disaster recovery testing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BCP/DR testing schedule (PSL-EV-02 §17)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6. Part 4 — Cybersecurity Operational Resilience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Framework requirement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Evidence / basis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Remediation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4.1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Identity and access management with least privilege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Five-role model with granular permissions, re-validated per request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4.2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Multi-factor authentication for privileged and remote access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Time-based one-time passwords; step-up re-authentication for secret access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4.3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Privileged access management and monitoring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Key-only host access; audit log with before/after state and source IP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4.4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Joiners, movers and leavers process with defined revocation timeline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24-hour deprovisioning SLA; leaver checklist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4.5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Periodic access recertification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Quarterly recertification for Bank-connected systems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4.6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Network segmentation and perimeter controls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Two-tier topology; data stores bound to loopback (PSL-EV-01)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4.7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Encryption of data at rest and in transit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AES-256-GCM field encryption; TLS 1.2+; HSTS one year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4.8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Cryptographic key management lifecycle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Key inventory with owners and rotation schedule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4.9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Endpoint protection and device management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Device standard; full-disk encryption on production-access devices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4.10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Secure email controls (anti-phishing, anti-malware, SPF/DKIM/DMARC)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Mail gateway configuration; published mail authentication records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4.11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Denial-of-service protection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Edge DDoS absorption; three-tier application rate limiting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4.12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Backup, with encryption, off-site storage and restore testing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Backup standard (PSL-EV-02 §15)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4.13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Incident response capability with defined playbooks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Incident Response Policy with six playbooks (PSL-EV-02 Part A)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4.14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Security awareness training for all personnel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Annual mandatory training with pass criteria and completion record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4.15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Personnel screening for sensitive roles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Pre-employment screening standard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7. Part 5 — Cyber Threat Intelligence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Framework requirement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Evidence / basis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Remediation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5.1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Subscription to relevant threat intelligence sources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CERT-NG advisories; NIBSS bulletins; CBN circulars; public advisory databases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5.2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Participation in sector information-sharing arrangements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Industry forum membership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5.3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Threat intelligence integrated into detection and response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Detection rules informed by intelligence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5.4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Periodic threat landscape assessment reported to management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Threat briefing in the board cyber item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8. Part 6 — Metrics, Monitoring and Reporting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Framework requirement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Evidence / basis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Remediation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6.1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Centralised logging of security-relevant events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Structured application logging; audit log with full state capture; webhook delivery log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6.2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Log retention meeting regulatory and contractual minimums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12-month minimum for application logs; 7 years for audit records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6.3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Log integrity and tamper-evidence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Write-once retention for shipped logs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6.4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Continuous monitoring and alerting on security events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Rail incident alerting; stuck-payment alerting; low-float alerting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6.5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Defined and measured detection and response metrics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MTTD/MTTR targets (PSL-EV-02 §8) — payment anomaly detection at 5 minutes is met today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6.6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Regular cybersecurity reporting to the board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Quarterly board report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6.7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Ability to produce log extracts on regulatory or counterparty request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4-business-hour commitment; 1 hour during a live incident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9. Part 7 — Compliance with Statutory and Regulatory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Framework requirement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Rating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Evidence / basis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Remediation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7.1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Valid CBN licence maintained and conditions observed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PSSP licence [      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7.2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Incident reporting to the CBN within prescribed timelines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Notification matrix (PSL-EV-02 §6)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7.3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AML/CFT programme and record-keeping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Transaction surveillance rules; tiered KYC; 10-year retention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7.4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NDPA 2023 compliance and NDPC registration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Data Protection and NDPA Policy (PSL-EV-04)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7.5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Annual Data Protection Compliance Audit filing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DPCA filing reference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7.6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PCI DSS compliance where card data is in scope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Paylode stores no PAN, CVV or PIN; card processing is via licensed third parties. Correct instrument to be confirmed with a QSA.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7.7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Compliance with CBN payment system data requirements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Data residency position (PSL-EV-04 §9)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7.8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Contractual security obligations flowed down to third parties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Sub-processor flow-down clause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10. Prioritised remediation plan</w:t>
      </w:r>
    </w:p>
    <w:p>
      <w:pPr>
        <w:spacing w:after="120"/>
      </w:pPr>
      <w:r>
        <w:t>Transcribe every item rated Partial, Planned or Not implemented, ordered by risk.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61"/>
        <w:gridCol w:w="1461"/>
        <w:gridCol w:w="1461"/>
        <w:gridCol w:w="1461"/>
        <w:gridCol w:w="1461"/>
        <w:gridCol w:w="1461"/>
        <w:gridCol w:w="1461"/>
      </w:tblGrid>
      <w:tr>
        <w:trPr>
          <w:tblHeader w:val="true"/>
        </w:trPr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Framework reference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Gap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Remediation action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Target date</w:t>
            </w:r>
          </w:p>
        </w:tc>
        <w:tc>
          <w:tcPr>
            <w:tcW w:type="dxa" w:w="1461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1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2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3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4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5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6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7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8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9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  <w:tr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10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  <w:tc>
          <w:tcPr>
            <w:tcW w:type="dxa" w:w="1461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]</w:t>
            </w:r>
          </w:p>
        </w:tc>
      </w:tr>
    </w:tbl>
    <w:p/>
    <w:p>
      <w:pPr>
        <w:pBdr>
          <w:bottom w:val="single" w:sz="6" w:color="CBD5E1"/>
        </w:pBdr>
      </w:pPr>
    </w:p>
    <w:p>
      <w:pPr>
        <w:pStyle w:val="Heading2"/>
      </w:pPr>
      <w:r/>
      <w:r>
        <w:rPr>
          <w:b/>
          <w:color w:val="0B3D5C"/>
          <w:sz w:val="28"/>
        </w:rPr>
        <w:t>11. Attestation</w:t>
      </w:r>
    </w:p>
    <w:p>
      <w:pPr>
        <w:spacing w:after="120"/>
      </w:pPr>
      <w:r>
        <w:t>The assessment recorded above reflects Paylode Services Limited's cybersecurity</w:t>
      </w:r>
    </w:p>
    <w:p>
      <w:pPr>
        <w:spacing w:after="120"/>
      </w:pPr>
      <w:r>
        <w:t>posture as at the assessment date, to the best of the assessor's knowledge. Items</w:t>
      </w:r>
    </w:p>
    <w:p>
      <w:pPr>
        <w:spacing w:after="120"/>
      </w:pPr>
      <w:r>
        <w:t>rated Partial, Planned or Not implemented are carried into the remediation plan in</w:t>
      </w:r>
    </w:p>
    <w:p>
      <w:pPr>
        <w:spacing w:after="120"/>
      </w:pPr>
      <w:r>
        <w:t>section 10 and are reported to the Board at each quarterly cycle until closed.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blHeader w:val="true"/>
        </w:trPr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val="clear" w:fill="0B3D5C"/>
          </w:tcPr>
          <w:p>
            <w:r>
              <w:rPr>
                <w:b/>
                <w:color w:val="FFFFFF"/>
                <w:sz w:val="18"/>
              </w:rPr>
            </w: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Assessed by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          ]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Title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          ]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Signature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          ]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Date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Reviewed by (Board)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                    ]</w:t>
            </w:r>
          </w:p>
        </w:tc>
      </w:tr>
      <w:tr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Date of board review</w:t>
            </w:r>
          </w:p>
        </w:tc>
        <w:tc>
          <w:tcPr>
            <w:tcW w:type="dxa" w:w="5112"/>
            <w:shd w:val="clear" w:fill="F8FAFC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Next assessment due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</w:r>
            <w:r>
              <w:rPr>
                <w:sz w:val="18"/>
              </w:rPr>
              <w:t>[                    ]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5"/>
      </w:rPr>
      <w:t>Paylode Services Limited — CONFIDENTIAL — prepared for Alpha Morgan Bank (AMB-ISO-VRQ-019)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