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de940488dfef654063d1d8a8aa19ca914b55b4"/>
      <w:r>
        <w:t xml:space="preserve">The Future of Generative AI in Healthcare: Trends, Applications, and Outlook</w:t>
      </w:r>
      <w:bookmarkEnd w:id="20"/>
    </w:p>
    <w:p>
      <w:pPr>
        <w:pStyle w:val="Heading2"/>
      </w:pPr>
      <w:bookmarkStart w:id="21" w:name="introduction"/>
      <w:r>
        <w:t xml:space="preserve">Introduction</w:t>
      </w:r>
      <w:bookmarkEnd w:id="21"/>
    </w:p>
    <w:p>
      <w:pPr>
        <w:pStyle w:val="FirstParagraph"/>
      </w:pPr>
      <w:r>
        <w:t xml:space="preserve">Generative Artificial Intelligence (GenAI) is rapidly transforming various sectors, with its integration into healthcare demonstrating significant potential to enhance operations, engage stakeholders, and improve overall care delivery. The future of GenAI in healthcare is characterized by its capacity to streamline workflows, personalize patient treatments, and support clinical decision-making, driven by increasing consumer trust and ongoing advancements towards full-scale implementation.</w:t>
      </w:r>
    </w:p>
    <w:p>
      <w:pPr>
        <w:pStyle w:val="Heading2"/>
      </w:pPr>
      <w:bookmarkStart w:id="22" w:name="current-trends-and-applications"/>
      <w:r>
        <w:t xml:space="preserve">Current Trends and Applications</w:t>
      </w:r>
      <w:bookmarkEnd w:id="22"/>
    </w:p>
    <w:p>
      <w:pPr>
        <w:pStyle w:val="FirstParagraph"/>
      </w:pPr>
      <w:r>
        <w:t xml:space="preserve">GenAI is already making considerable strides in healthcare through a variety of applications:</w:t>
      </w:r>
    </w:p>
    <w:p>
      <w:pPr>
        <w:pStyle w:val="Heading3"/>
      </w:pPr>
      <w:bookmarkStart w:id="23" w:name="X8b51e455c419c06401ff60d110e5128ba705b3a"/>
      <w:r>
        <w:t xml:space="preserve">Operational Enhancement and Workflow Transformation</w:t>
      </w:r>
      <w:bookmarkEnd w:id="23"/>
    </w:p>
    <w:p>
      <w:pPr>
        <w:pStyle w:val="FirstParagraph"/>
      </w:pPr>
      <w:r>
        <w:t xml:space="preserve">Generative AI tools, including Large Language Models (LLMs) and Image Generation Models (IGMs), are actively transforming clinical workflows. These applications contribute to enhanced clinical efficiency and patient safety (MDPI). GenAI can also enhance general operations and engage stakeholders across the healthcare ecosystem (McKinsey &amp; Company).</w:t>
      </w:r>
    </w:p>
    <w:p>
      <w:pPr>
        <w:pStyle w:val="Heading3"/>
      </w:pPr>
      <w:bookmarkStart w:id="24" w:name="X6a0d82eb5fc92b02e228774a6da887d11b6a5d1"/>
      <w:r>
        <w:t xml:space="preserve">Documentation and Administrative Efficiency</w:t>
      </w:r>
      <w:bookmarkEnd w:id="24"/>
    </w:p>
    <w:p>
      <w:pPr>
        <w:pStyle w:val="FirstParagraph"/>
      </w:pPr>
      <w:r>
        <w:t xml:space="preserve">A significant area of impact is in electronic health record (EHR) management. GenAI solutions are capable of supercharging EHR documentation and transcription, thereby expediting interoperability. These AI-powered solutions integrate with EHR systems to generate summaries of clinical documentation at scale, facilitating better exchange and utilization of health information (VSP Vision). For instance, an AI solution like Tali can record patient conversations, take medical notes, and function as an EHR assistant. Furthermore, generative AI startups are scaling administrative and front-of-house activities, aiming to reduce burnout among healthcare professionals and move towards more seamless care (VSP Vision). HCA Healthcare is exploring the use of Med-PaLM in the crucial patient handoff process between nurses (VSP Vision).</w:t>
      </w:r>
    </w:p>
    <w:p>
      <w:pPr>
        <w:pStyle w:val="Heading3"/>
      </w:pPr>
      <w:bookmarkStart w:id="25" w:name="personalized-medicine"/>
      <w:r>
        <w:t xml:space="preserve">Personalized Medicine</w:t>
      </w:r>
      <w:bookmarkEnd w:id="25"/>
    </w:p>
    <w:p>
      <w:pPr>
        <w:pStyle w:val="FirstParagraph"/>
      </w:pPr>
      <w:r>
        <w:t xml:space="preserve">GenAI-driven healthcare solutions can analyze comprehensive patient information, including health history, genetic data, and lifestyle factors. This analysis enables the creation of highly personalized treatment plans tailored to individual needs (KMS Technology).</w:t>
      </w:r>
    </w:p>
    <w:p>
      <w:pPr>
        <w:pStyle w:val="Heading2"/>
      </w:pPr>
      <w:bookmarkStart w:id="26" w:name="drivers-for-future-adoption"/>
      <w:r>
        <w:t xml:space="preserve">Drivers for Future Adoption</w:t>
      </w:r>
      <w:bookmarkEnd w:id="26"/>
    </w:p>
    <w:p>
      <w:pPr>
        <w:pStyle w:val="FirstParagraph"/>
      </w:pPr>
      <w:r>
        <w:t xml:space="preserve">The continued integration and expansion of generative AI in healthcare are significantly propelled by two key factors:</w:t>
      </w:r>
    </w:p>
    <w:p>
      <w:pPr>
        <w:pStyle w:val="Heading3"/>
      </w:pPr>
      <w:bookmarkStart w:id="27" w:name="increasing-consumer-trust"/>
      <w:r>
        <w:t xml:space="preserve">Increasing Consumer Trust</w:t>
      </w:r>
      <w:bookmarkEnd w:id="27"/>
    </w:p>
    <w:p>
      <w:pPr>
        <w:pStyle w:val="FirstParagraph"/>
      </w:pPr>
      <w:r>
        <w:t xml:space="preserve">Consumer trust and sentiment towards generative AI are on an upward trend. This growing confidence is crucial for the widespread adoption and successful implementation of GenAI tools in healthcare delivery and care (Wolters Kluwer).</w:t>
      </w:r>
    </w:p>
    <w:p>
      <w:pPr>
        <w:pStyle w:val="Heading3"/>
      </w:pPr>
      <w:bookmarkStart w:id="28" w:name="advancing-implementation"/>
      <w:r>
        <w:t xml:space="preserve">Advancing Implementation</w:t>
      </w:r>
      <w:bookmarkEnd w:id="28"/>
    </w:p>
    <w:p>
      <w:pPr>
        <w:pStyle w:val="FirstParagraph"/>
      </w:pPr>
      <w:r>
        <w:t xml:space="preserve">Many GenAI initiatives in healthcare are progressing beyond pilot phases, moving towards full-scale implementation. This indicates a maturing landscape where the practical benefits and operational efficiencies of GenAI are being realized across various healthcare settings (McKinsey &amp; Company).</w:t>
      </w:r>
    </w:p>
    <w:p>
      <w:pPr>
        <w:pStyle w:val="Heading2"/>
      </w:pPr>
      <w:bookmarkStart w:id="29" w:name="Xa496802593879ba82d18371ec4fdb9571a70539"/>
      <w:r>
        <w:t xml:space="preserve">Futuristic Landscape and Advanced Applications</w:t>
      </w:r>
      <w:bookmarkEnd w:id="29"/>
    </w:p>
    <w:p>
      <w:pPr>
        <w:pStyle w:val="FirstParagraph"/>
      </w:pPr>
      <w:r>
        <w:t xml:space="preserve">The future landscape of generative AI in healthcare is expected to evolve from foundational model development to encompass advanced applications across several domains:</w:t>
      </w:r>
    </w:p>
    <w:p>
      <w:pPr>
        <w:numPr>
          <w:ilvl w:val="0"/>
          <w:numId w:val="1001"/>
        </w:numPr>
        <w:pStyle w:val="Compact"/>
      </w:pPr>
      <w:r>
        <w:rPr>
          <w:b/>
        </w:rPr>
        <w:t xml:space="preserve">Personalized Medicine:</w:t>
      </w:r>
      <w:r>
        <w:t xml:space="preserve"> </w:t>
      </w:r>
      <w:r>
        <w:t xml:space="preserve">Further refinement of individualized treatment approaches based on detailed patient data.</w:t>
      </w:r>
    </w:p>
    <w:p>
      <w:pPr>
        <w:numPr>
          <w:ilvl w:val="0"/>
          <w:numId w:val="1001"/>
        </w:numPr>
        <w:pStyle w:val="Compact"/>
      </w:pPr>
      <w:r>
        <w:rPr>
          <w:b/>
        </w:rPr>
        <w:t xml:space="preserve">Autonomous Diagnostics:</w:t>
      </w:r>
      <w:r>
        <w:t xml:space="preserve"> </w:t>
      </w:r>
      <w:r>
        <w:t xml:space="preserve">Development of AI systems capable of performing diagnostic tasks with minimal human intervention.</w:t>
      </w:r>
    </w:p>
    <w:p>
      <w:pPr>
        <w:numPr>
          <w:ilvl w:val="0"/>
          <w:numId w:val="1001"/>
        </w:numPr>
        <w:pStyle w:val="Compact"/>
      </w:pPr>
      <w:r>
        <w:rPr>
          <w:b/>
        </w:rPr>
        <w:t xml:space="preserve">Clinical Decision Support:</w:t>
      </w:r>
      <w:r>
        <w:t xml:space="preserve"> </w:t>
      </w:r>
      <w:r>
        <w:t xml:space="preserve">Enhanced AI tools that provide sophisticated assistance to clinicians in making informed decisions.</w:t>
      </w:r>
    </w:p>
    <w:p>
      <w:pPr>
        <w:numPr>
          <w:ilvl w:val="0"/>
          <w:numId w:val="1001"/>
        </w:numPr>
        <w:pStyle w:val="Compact"/>
      </w:pPr>
      <w:r>
        <w:rPr>
          <w:b/>
        </w:rPr>
        <w:t xml:space="preserve">Predictive Healthcare Analytics:</w:t>
      </w:r>
      <w:r>
        <w:t xml:space="preserve"> </w:t>
      </w:r>
      <w:r>
        <w:t xml:space="preserve">Advanced analytical capabilities to forecast health outcomes, disease outbreaks, and resource needs (MDPI).</w:t>
      </w:r>
    </w:p>
    <w:p>
      <w:pPr>
        <w:pStyle w:val="Heading2"/>
      </w:pPr>
      <w:bookmarkStart w:id="30" w:name="conclusion"/>
      <w:r>
        <w:t xml:space="preserve">Conclusion</w:t>
      </w:r>
      <w:bookmarkEnd w:id="30"/>
    </w:p>
    <w:p>
      <w:pPr>
        <w:pStyle w:val="FirstParagraph"/>
      </w:pPr>
      <w:r>
        <w:t xml:space="preserve">Generative AI holds immense promise for the future of healthcare, offering capabilities to improve operational efficiency, enhance patient safety, and deliver personalized care. With increasing consumer trust and the progression towards full-scale implementation, GenAI models, including LLMs and IGMs, are set to transform clinical workflows, streamline administrative tasks, and pave the way for advanced applications in personalized medicine and predictive analytics.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2025-11-23T09:37:36Z</dcterms:created>
  <dcterms:modified xsi:type="dcterms:W3CDTF">2025-11-23T09:37:36Z</dcterms:modified>
</cp:coreProperties>
</file>

<file path=docProps/custom.xml><?xml version="1.0" encoding="utf-8"?>
<Properties xmlns="http://schemas.openxmlformats.org/officeDocument/2006/custom-properties" xmlns:vt="http://schemas.openxmlformats.org/officeDocument/2006/docPropsVTypes"/>
</file>