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a1c4d0be515e5535a184afa368e00054c52b7b"/>
      <w:r>
        <w:t xml:space="preserve">Evaluation and Benchmarking of LLM-based Agents: A Comprehensive Survey</w:t>
      </w:r>
      <w:bookmarkEnd w:id="20"/>
    </w:p>
    <w:p>
      <w:pPr>
        <w:pStyle w:val="Heading2"/>
      </w:pPr>
      <w:bookmarkStart w:id="21" w:name="abstract"/>
      <w:r>
        <w:t xml:space="preserve">Abstract</w:t>
      </w:r>
      <w:bookmarkEnd w:id="21"/>
    </w:p>
    <w:p>
      <w:pPr>
        <w:pStyle w:val="FirstParagraph"/>
      </w:pPr>
      <w:r>
        <w:t xml:space="preserve">The rapid advancement of Large Language Model (LLM)-based agents necessitates robust and systematic evaluation methodologies. This paper synthesizes findings from a comprehensive survey conducted in March 2025, which provides an in-depth analysis of evaluation benchmarks and frameworks for these increasingly capable agents. The survey organizes the field across four critical dimensions: fundamental agent capabilities (including planning, tool use, self-reflection, and memory), application-specific benchmarks (for web, software engineering, scientific, and conversational agents), generalist agent benchmarks, and agent evaluation frameworks. It highlights emerging trends, identifies current limitations, and proposes directions for future research, emphasizing the need for more robust and realistic evaluations, informed by a cognitive science perspective.</w:t>
      </w:r>
    </w:p>
    <w:p>
      <w:pPr>
        <w:pStyle w:val="Heading2"/>
      </w:pPr>
      <w:bookmarkStart w:id="22" w:name="introduction"/>
      <w:r>
        <w:t xml:space="preserve">1. Introduction</w:t>
      </w:r>
      <w:bookmarkEnd w:id="22"/>
    </w:p>
    <w:p>
      <w:pPr>
        <w:pStyle w:val="FirstParagraph"/>
      </w:pPr>
      <w:r>
        <w:t xml:space="preserve">The proliferation of LLM-based agents has opened new frontiers in artificial intelligence, enabling systems to perform complex tasks through capabilities such as planning, tool use, and self-reflection. As these agents become more sophisticated, the challenge of accurately assessing their performance, reliability, and limitations grows. A comprehensive understanding of their evaluation is crucial for their development and deployment. This paper draws upon a foundational survey from March 2025, which represents the first systematic analysis of evaluation methodologies for LLM-based agents, offering a structured overview of the field and identifying key areas for development.</w:t>
      </w:r>
    </w:p>
    <w:p>
      <w:pPr>
        <w:pStyle w:val="Heading2"/>
      </w:pPr>
      <w:bookmarkStart w:id="23" w:name="evaluation-dimensions-and-frameworks"/>
      <w:r>
        <w:t xml:space="preserve">2. Evaluation Dimensions and Frameworks</w:t>
      </w:r>
      <w:bookmarkEnd w:id="23"/>
    </w:p>
    <w:p>
      <w:pPr>
        <w:pStyle w:val="FirstParagraph"/>
      </w:pPr>
      <w:r>
        <w:t xml:space="preserve">The comprehensive survey on the evaluation of LLM-based agents organizes its analysis across four critical dimensions, providing a structured approach to understanding the diverse landscape of evaluation methodologies:</w:t>
      </w:r>
    </w:p>
    <w:p>
      <w:pPr>
        <w:numPr>
          <w:ilvl w:val="0"/>
          <w:numId w:val="1001"/>
        </w:numPr>
        <w:pStyle w:val="Compact"/>
      </w:pPr>
      <w:r>
        <w:rPr>
          <w:b/>
        </w:rPr>
        <w:t xml:space="preserve">Fundamental Agent Capabilities</w:t>
      </w:r>
      <w:r>
        <w:t xml:space="preserve">: This dimension focuses on core abilities inherent to LLM-based agents, such as planning, tool use, self-reflection, and memory. These capabilities are foundational for agents to operate effectively in various environments.</w:t>
      </w:r>
    </w:p>
    <w:p>
      <w:pPr>
        <w:numPr>
          <w:ilvl w:val="0"/>
          <w:numId w:val="1001"/>
        </w:numPr>
        <w:pStyle w:val="Compact"/>
      </w:pPr>
      <w:r>
        <w:rPr>
          <w:b/>
        </w:rPr>
        <w:t xml:space="preserve">Application-Specific Benchmarks</w:t>
      </w:r>
      <w:r>
        <w:t xml:space="preserve">: This category addresses evaluations tailored to particular domains, including web agents, software engineering agents, scientific agents, and conversational agents. These benchmarks assess an agent’s performance within the specific context and requirements of its intended application.</w:t>
      </w:r>
    </w:p>
    <w:p>
      <w:pPr>
        <w:numPr>
          <w:ilvl w:val="0"/>
          <w:numId w:val="1001"/>
        </w:numPr>
        <w:pStyle w:val="Compact"/>
      </w:pPr>
      <w:r>
        <w:rPr>
          <w:b/>
        </w:rPr>
        <w:t xml:space="preserve">Generalist Agent Benchmarks</w:t>
      </w:r>
      <w:r>
        <w:t xml:space="preserve">: This dimension examines benchmarks designed to evaluate agents that aim to perform a wide array of tasks across multiple domains, reflecting their versatility and broad applicability.</w:t>
      </w:r>
    </w:p>
    <w:p>
      <w:pPr>
        <w:numPr>
          <w:ilvl w:val="0"/>
          <w:numId w:val="1001"/>
        </w:numPr>
        <w:pStyle w:val="Compact"/>
      </w:pPr>
      <w:r>
        <w:rPr>
          <w:b/>
        </w:rPr>
        <w:t xml:space="preserve">Agent Evaluation Frameworks</w:t>
      </w:r>
      <w:r>
        <w:t xml:space="preserve">: This category encompasses the overarching structures and methodologies used to conduct evaluations, providing systematic approaches for testing and comparing agent performance.</w:t>
      </w:r>
    </w:p>
    <w:p>
      <w:pPr>
        <w:pStyle w:val="FirstParagraph"/>
      </w:pPr>
      <w:r>
        <w:t xml:space="preserve">These dimensions collectively reveal emerging trends, highlight current limitations in existing evaluation paradigms, and inform directions for future research aimed at enhancing the robustness and realism of agent evaluations.</w:t>
      </w:r>
    </w:p>
    <w:p>
      <w:pPr>
        <w:pStyle w:val="Heading2"/>
      </w:pPr>
      <w:bookmarkStart w:id="24" w:name="core-agent-capabilities"/>
      <w:r>
        <w:t xml:space="preserve">3. Core Agent Capabilities</w:t>
      </w:r>
      <w:bookmarkEnd w:id="24"/>
    </w:p>
    <w:p>
      <w:pPr>
        <w:pStyle w:val="FirstParagraph"/>
      </w:pPr>
      <w:r>
        <w:t xml:space="preserve">Effective LLM-based agents rely on a suite of interconnected core abilities that enable them to interact with complex environments and achieve objectives.</w:t>
      </w:r>
    </w:p>
    <w:p>
      <w:pPr>
        <w:pStyle w:val="Heading3"/>
      </w:pPr>
      <w:bookmarkStart w:id="25" w:name="planning-and-multi-step-reasoning"/>
      <w:r>
        <w:t xml:space="preserve">3.1 Planning and Multi-Step Reasoning</w:t>
      </w:r>
      <w:bookmarkEnd w:id="25"/>
    </w:p>
    <w:p>
      <w:pPr>
        <w:pStyle w:val="FirstParagraph"/>
      </w:pPr>
      <w:r>
        <w:t xml:space="preserve">Planning is a fundamental capability, allowing agents to break down complex goals into a sequence of executable steps. This involves multi-step reasoning, which is essential for navigating intricate scenarios. The complexity of language generation further intertwines with planning, as agents must articulate their plans and actions coherently. The survey emphasizes the need for an integrated approach to evaluate these abilities, moving beyond isolated tests.</w:t>
      </w:r>
    </w:p>
    <w:p>
      <w:pPr>
        <w:pStyle w:val="Heading3"/>
      </w:pPr>
      <w:bookmarkStart w:id="26" w:name="tool-use"/>
      <w:r>
        <w:t xml:space="preserve">3.2 Tool Use</w:t>
      </w:r>
      <w:bookmarkEnd w:id="26"/>
    </w:p>
    <w:p>
      <w:pPr>
        <w:pStyle w:val="FirstParagraph"/>
      </w:pPr>
      <w:r>
        <w:t xml:space="preserve">Tool use is a critical capability that extends the functional reach of LLM agents beyond their inherent language generation abilities. This involves:</w:t>
      </w:r>
      <w:r>
        <w:t xml:space="preserve"> </w:t>
      </w:r>
      <w:r>
        <w:t xml:space="preserve">*</w:t>
      </w:r>
      <w:r>
        <w:t xml:space="preserve"> </w:t>
      </w:r>
      <w:r>
        <w:rPr>
          <w:b/>
        </w:rPr>
        <w:t xml:space="preserve">Function Calling</w:t>
      </w:r>
      <w:r>
        <w:t xml:space="preserve">: The agent’s ability to correctly identify and invoke external functions or APIs.</w:t>
      </w:r>
      <w:r>
        <w:t xml:space="preserve"> </w:t>
      </w:r>
      <w:r>
        <w:t xml:space="preserve">*</w:t>
      </w:r>
      <w:r>
        <w:t xml:space="preserve"> </w:t>
      </w:r>
      <w:r>
        <w:rPr>
          <w:b/>
        </w:rPr>
        <w:t xml:space="preserve">Nested Tool Calls</w:t>
      </w:r>
      <w:r>
        <w:t xml:space="preserve">: The capacity to use one tool’s output as input for another, demonstrating sophisticated procedural understanding.</w:t>
      </w:r>
      <w:r>
        <w:t xml:space="preserve"> </w:t>
      </w:r>
      <w:r>
        <w:t xml:space="preserve">*</w:t>
      </w:r>
      <w:r>
        <w:t xml:space="preserve"> </w:t>
      </w:r>
      <w:r>
        <w:rPr>
          <w:b/>
        </w:rPr>
        <w:t xml:space="preserve">API Blend</w:t>
      </w:r>
      <w:r>
        <w:t xml:space="preserve">: The integration of various APIs to achieve complex tasks, requiring robust and realistic evaluations that mimic real-world scenarios.</w:t>
      </w:r>
    </w:p>
    <w:p>
      <w:pPr>
        <w:pStyle w:val="BodyText"/>
      </w:pPr>
      <w:r>
        <w:t xml:space="preserve">Early benchmarks have begun to address these aspects, but the evolving complexity of agent tasks necessitates more advanced evaluation methods.</w:t>
      </w:r>
    </w:p>
    <w:p>
      <w:pPr>
        <w:pStyle w:val="Heading3"/>
      </w:pPr>
      <w:bookmarkStart w:id="27" w:name="self-reflection"/>
      <w:r>
        <w:t xml:space="preserve">3.3 Self-Reflection</w:t>
      </w:r>
      <w:bookmarkEnd w:id="27"/>
    </w:p>
    <w:p>
      <w:pPr>
        <w:pStyle w:val="FirstParagraph"/>
      </w:pPr>
      <w:r>
        <w:t xml:space="preserve">Self-reflection allows agents to critically evaluate their own actions and outputs, identify errors, and refine their strategies. This capability is crucial for learning and adapting, moving beyond</w:t>
      </w:r>
      <w:r>
        <w:t xml:space="preserve"> </w:t>
      </w:r>
      <w:r>
        <w:t xml:space="preserve">“</w:t>
      </w:r>
      <w:r>
        <w:t xml:space="preserve">lucky guesses</w:t>
      </w:r>
      <w:r>
        <w:t xml:space="preserve">”</w:t>
      </w:r>
      <w:r>
        <w:t xml:space="preserve"> </w:t>
      </w:r>
      <w:r>
        <w:t xml:space="preserve">to more systematic problem-solving.</w:t>
      </w:r>
    </w:p>
    <w:p>
      <w:pPr>
        <w:pStyle w:val="Heading3"/>
      </w:pPr>
      <w:bookmarkStart w:id="28" w:name="memory"/>
      <w:r>
        <w:t xml:space="preserve">3.4 Memory</w:t>
      </w:r>
      <w:bookmarkEnd w:id="28"/>
    </w:p>
    <w:p>
      <w:pPr>
        <w:pStyle w:val="FirstParagraph"/>
      </w:pPr>
      <w:r>
        <w:t xml:space="preserve">Memory is a vital component for agents to maintain context, learn from past interactions, and inform future decisions. The survey distinguishes between short-term and long-term memory, highlighting several key aspects:</w:t>
      </w:r>
      <w:r>
        <w:t xml:space="preserve"> </w:t>
      </w:r>
      <w:r>
        <w:t xml:space="preserve">*</w:t>
      </w:r>
      <w:r>
        <w:t xml:space="preserve"> </w:t>
      </w:r>
      <w:r>
        <w:rPr>
          <w:b/>
        </w:rPr>
        <w:t xml:space="preserve">Memory Capacity</w:t>
      </w:r>
      <w:r>
        <w:t xml:space="preserve">: The sheer volume of information an agent can retain.</w:t>
      </w:r>
      <w:r>
        <w:t xml:space="preserve"> </w:t>
      </w:r>
      <w:r>
        <w:t xml:space="preserve">*</w:t>
      </w:r>
      <w:r>
        <w:t xml:space="preserve"> </w:t>
      </w:r>
      <w:r>
        <w:rPr>
          <w:b/>
        </w:rPr>
        <w:t xml:space="preserve">Memory Bottleneck</w:t>
      </w:r>
      <w:r>
        <w:t xml:space="preserve">: Limitations in how efficiently an agent can access or process stored information.</w:t>
      </w:r>
      <w:r>
        <w:t xml:space="preserve"> </w:t>
      </w:r>
      <w:r>
        <w:t xml:space="preserve">*</w:t>
      </w:r>
      <w:r>
        <w:t xml:space="preserve"> </w:t>
      </w:r>
      <w:r>
        <w:rPr>
          <w:b/>
        </w:rPr>
        <w:t xml:space="preserve">Learning Process</w:t>
      </w:r>
      <w:r>
        <w:t xml:space="preserve">: How agents acquire, store, and retrieve information over time.</w:t>
      </w:r>
      <w:r>
        <w:t xml:space="preserve"> </w:t>
      </w:r>
      <w:r>
        <w:t xml:space="preserve">*</w:t>
      </w:r>
      <w:r>
        <w:t xml:space="preserve"> </w:t>
      </w:r>
      <w:r>
        <w:rPr>
          <w:b/>
        </w:rPr>
        <w:t xml:space="preserve">Memory Hit Rate</w:t>
      </w:r>
      <w:r>
        <w:t xml:space="preserve">: The frequency with which an agent successfully retrieves relevant information from its memory when needed.</w:t>
      </w:r>
      <w:r>
        <w:t xml:space="preserve"> </w:t>
      </w:r>
      <w:r>
        <w:t xml:space="preserve">Addressing memory limitations is essential for agents to perform effectively in prolonged and complex interactions.</w:t>
      </w:r>
    </w:p>
    <w:p>
      <w:pPr>
        <w:pStyle w:val="Heading2"/>
      </w:pPr>
      <w:bookmarkStart w:id="29" w:name="application-domains"/>
      <w:r>
        <w:t xml:space="preserve">4. Application Domains</w:t>
      </w:r>
      <w:bookmarkEnd w:id="29"/>
    </w:p>
    <w:p>
      <w:pPr>
        <w:pStyle w:val="FirstParagraph"/>
      </w:pPr>
      <w:r>
        <w:t xml:space="preserve">The evaluation of LLM-based agents is also highly dependent on their specific application domains, each presenting unique challenges and requirements.</w:t>
      </w:r>
    </w:p>
    <w:p>
      <w:pPr>
        <w:pStyle w:val="Heading3"/>
      </w:pPr>
      <w:bookmarkStart w:id="30" w:name="web-agents"/>
      <w:r>
        <w:t xml:space="preserve">4.1 Web Agents</w:t>
      </w:r>
      <w:bookmarkEnd w:id="30"/>
    </w:p>
    <w:p>
      <w:pPr>
        <w:pStyle w:val="FirstParagraph"/>
      </w:pPr>
      <w:r>
        <w:t xml:space="preserve">Web agents are designed to navigate and interact with the internet, performing tasks such as information retrieval, data extraction, and automated browsing. Evaluations in this domain focus on their ability to handle dynamic web content, understand user intent in web contexts, and execute multi-step web-based workflows.</w:t>
      </w:r>
    </w:p>
    <w:p>
      <w:pPr>
        <w:pStyle w:val="Heading3"/>
      </w:pPr>
      <w:bookmarkStart w:id="31" w:name="software-engineering-agents"/>
      <w:r>
        <w:t xml:space="preserve">4.2 Software Engineering Agents</w:t>
      </w:r>
      <w:bookmarkEnd w:id="31"/>
    </w:p>
    <w:p>
      <w:pPr>
        <w:pStyle w:val="FirstParagraph"/>
      </w:pPr>
      <w:r>
        <w:t xml:space="preserve">These agents assist in various software development tasks, including code generation, debugging, testing, and even visual software domains. Evaluations assess their proficiency in understanding programming languages, adhering to coding standards, and generating correct and efficient code. The survey also touches upon policy compliance and risk mitigation in software development environments.</w:t>
      </w:r>
    </w:p>
    <w:p>
      <w:pPr>
        <w:pStyle w:val="Heading3"/>
      </w:pPr>
      <w:bookmarkStart w:id="32" w:name="scientific-agents"/>
      <w:r>
        <w:t xml:space="preserve">4.3 Scientific Agents</w:t>
      </w:r>
      <w:bookmarkEnd w:id="32"/>
    </w:p>
    <w:p>
      <w:pPr>
        <w:pStyle w:val="FirstParagraph"/>
      </w:pPr>
      <w:r>
        <w:t xml:space="preserve">Scientific agents are employed in research and discovery, assisting with tasks such as hypothesis generation, experimental design, data analysis, and literature review. Evaluation focuses on their accuracy in scientific reasoning, ability to interpret complex data, and contribution to novel scientific insights.</w:t>
      </w:r>
    </w:p>
    <w:p>
      <w:pPr>
        <w:pStyle w:val="Heading3"/>
      </w:pPr>
      <w:bookmarkStart w:id="33" w:name="conversational-agents"/>
      <w:r>
        <w:t xml:space="preserve">4.4 Conversational Agents</w:t>
      </w:r>
      <w:bookmarkEnd w:id="33"/>
    </w:p>
    <w:p>
      <w:pPr>
        <w:pStyle w:val="FirstParagraph"/>
      </w:pPr>
      <w:r>
        <w:t xml:space="preserve">Conversational agents, including chatbots and virtual assistants, are designed for natural language interaction. Their evaluation centers on fluency, coherence, empathy, and the ability to maintain context over extended dialogues. This also extends to office and enterprise environments, where conversational agents must handle specific business logic and user support.</w:t>
      </w:r>
    </w:p>
    <w:p>
      <w:pPr>
        <w:pStyle w:val="Heading2"/>
      </w:pPr>
      <w:bookmarkStart w:id="34" w:name="conclusion"/>
      <w:r>
        <w:t xml:space="preserve">5. Conclusion</w:t>
      </w:r>
      <w:bookmarkEnd w:id="34"/>
    </w:p>
    <w:p>
      <w:pPr>
        <w:pStyle w:val="FirstParagraph"/>
      </w:pPr>
      <w:r>
        <w:t xml:space="preserve">The evaluation of LLM-based agents is a rapidly evolving field, integral to the advancement and responsible deployment of these powerful AI systems. The comprehensive survey discussed herein provides a critical foundation, systematically analyzing existing evaluation methodologies across fundamental capabilities, application-specific contexts, generalist approaches, and overarching frameworks. Key areas of focus include the complexity of planning and multi-step reasoning, the nuances of tool use (including nested calls and API blending), the importance of self-reflection, and the critical role of memory capacity and efficiency. As LLM-based agents continue to grow in capability and domain specificity, future research must prioritize the development of more robust, realistic, and cognitively informed evaluation paradigms to accurately assess their performance and address their limitations.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2025-11-02T11:42:55Z</dcterms:created>
  <dcterms:modified xsi:type="dcterms:W3CDTF">2025-11-02T11:42:55Z</dcterms:modified>
</cp:coreProperties>
</file>

<file path=docProps/custom.xml><?xml version="1.0" encoding="utf-8"?>
<Properties xmlns="http://schemas.openxmlformats.org/officeDocument/2006/custom-properties" xmlns:vt="http://schemas.openxmlformats.org/officeDocument/2006/docPropsVTypes"/>
</file>