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0E639C"/>
          <w:sz w:val="36"/>
          <w:szCs w:val="36"/>
        </w:rPr>
        <w:t xml:space="preserve">Enterprise Hybrid Cloud Security Architecture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Rhein-Neckar-Solution GmbH</w:t>
      </w:r>
    </w:p>
    <w:p>
      <w:pPr>
        <w:spacing w:after="1200"/>
        <w:jc w:val="center"/>
      </w:pPr>
      <w:r>
        <w:rPr>
          <w:i/>
          <w:iCs/>
          <w:color w:val="888888"/>
          <w:sz w:val="22"/>
          <w:szCs w:val="22"/>
        </w:rPr>
        <w:t xml:space="preserve">Eine praxisnahe Hybrid-Identity-Implementierung</w:t>
      </w:r>
    </w:p>
    <w:p>
      <w:pPr>
        <w:spacing w:after="80"/>
        <w:jc w:val="center"/>
      </w:pPr>
      <w:r>
        <w:rPr>
          <w:b/>
          <w:bCs/>
          <w:color w:val="0E639C"/>
          <w:sz w:val="56"/>
          <w:szCs w:val="56"/>
        </w:rPr>
        <w:t xml:space="preserve">TEIL 2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Lokale Netzwerksicherheit und Zero-Trust-Härtung</w:t>
      </w:r>
    </w:p>
    <w:p>
      <w:pPr>
        <w:spacing w:after="2400"/>
        <w:jc w:val="center"/>
      </w:pPr>
      <w:r>
        <w:rPr>
          <w:i/>
          <w:iCs/>
          <w:color w:val="777777"/>
          <w:sz w:val="24"/>
          <w:szCs w:val="24"/>
        </w:rPr>
        <w:t xml:space="preserve">On-Premises Security &amp; Hardening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Dokumentation – 2 von 4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2.1  Sicherheitsziel</w:t>
      </w:r>
    </w:p>
    <w:p>
      <w:pPr>
        <w:spacing w:after="160" w:line="320"/>
        <w:jc w:val="both"/>
      </w:pPr>
      <w:r>
        <w:t xml:space="preserve">Der zweite Teil des Projekts hatte zum Ziel, die in Teil 1 aufgebaute Active-Directory-Infrastruktur nicht nur funktionsfähig, sondern </w:t>
      </w:r>
      <w:r>
        <w:rPr>
          <w:b/>
          <w:bCs/>
        </w:rPr>
        <w:t xml:space="preserve">sicher</w:t>
      </w:r>
      <w:r>
        <w:t xml:space="preserve"> zu machen. Statt mit den Windows-Standardeinstellungen weiterzuarbeiten, sollten </w:t>
      </w:r>
      <w:r>
        <w:rPr>
          <w:b/>
          <w:bCs/>
        </w:rPr>
        <w:t xml:space="preserve">grundlegende Sicherheitskontrollen zentral durchgesetzt</w:t>
      </w:r>
      <w:r>
        <w:t xml:space="preserve"> werden. Schwerpunkte dieses Abschnitts sind verschlüsselte Kommunikation, die zentrale Verwaltung lokaler Administrator-Kennwörter, Client- und Server-Hardening, Audit Policy sowie der Versuch einer Local-Admin-Restriction.</w:t>
      </w:r>
    </w:p>
    <w:p>
      <w:pPr>
        <w:spacing w:after="160" w:line="320"/>
        <w:jc w:val="both"/>
      </w:pPr>
      <w:r>
        <w:t xml:space="preserve">Dieser Ansatz folgt dem </w:t>
      </w:r>
      <w:r>
        <w:rPr>
          <w:b/>
          <w:bCs/>
        </w:rPr>
        <w:t xml:space="preserve">Zero-Trust-Prinzip</w:t>
      </w:r>
      <w:r>
        <w:t xml:space="preserve">: kein System im internen Netzwerk wird als vertrauenswürdig vorausgesetzt. Veraltete Protokolle wie SMBv1 wurden deaktiviert, das Guest-Konto wurde abgeschaltet, Windows Defender und Firewall blieben aktiv, lokale Administrator-Kennwörter dürfen nicht auf jedem Rechner identisch sein und Sicherheitsereignisse werden zentral protokolliert.</w:t>
      </w:r>
    </w:p>
    <w:p>
      <w:pPr>
        <w:pStyle w:val="Heading2"/>
        <w:spacing w:after="160" w:before="320"/>
      </w:pPr>
      <w:r>
        <w:t xml:space="preserve">Überblick: die im Projekt erstellten GPOs</w:t>
      </w:r>
    </w:p>
    <w:p>
      <w:pPr>
        <w:spacing w:after="160" w:line="320"/>
        <w:jc w:val="both"/>
      </w:pPr>
      <w:r>
        <w:t xml:space="preserve">Vor der Detaildarstellung der einzelnen Maßnahmen folgt zunächst ein Überblick über sämtliche im Rahmen von Teil 2 erstellten Gruppenrichtlinienobjekte. Sie bilden die Grundlage der Härtungs- und Sicherheitskonfiguration: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495550"/>
            <wp:effectExtent t="0" r="0" b="0" l="0"/>
            <wp:docPr id="1" name="Gruppenrichtlinienverwaltung_objekte.png" descr="Gruppenrichtlinienverwaltung — Container „Gruppenrichtlinienobjekte“ in rns.local. Neben den beiden Standard-GPOs (Default Domain Policy, Default Domain Controllers Policy) sind die projektspezifischen Richtlinien sichtbar: GPO-Audit-Policy-Baseline, GPO-Baseline-Client-Hardening, GPO-Baseline-Server-Hardening, GPO-Map-Network-Drives, GPO-Restrict-Local-Admins-Clients, GPO-Restrict-Local-Admins-Servers und GPO-Windows-LAPS." title="Gruppenrichtlinienverwaltung — Container „Gruppenrichtlinienobjekte“ in rns.local. Neben den beiden Standard-GPOs (Default Domain Policy, Default Domain Controllers Policy) sind die projektspezifischen Richtlinien sichtbar: GPO-Audit-Policy-Baseline, GPO-Baseline-Client-Hardening, GPO-Baseline-Server-Hardening, GPO-Map-Network-Drives, GPO-Restrict-Local-Admins-Clients, GPO-Restrict-Local-Admins-Servers und GPO-Windows-LA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Abbildung: Gruppenrichtlinienverwaltung — Container „Gruppenrichtlinienobjekte“ in rns.local. Neben den beiden Standard-GPOs (Default Domain Policy, Default Domain Controllers Policy) sind die projektspezifischen Richtlinien sichtbar: GPO-Audit-Policy-Baseline, GPO-Baseline-Client-Hardening, GPO-Baseline-Server-Hardening, GPO-Map-Network-Drives, GPO-Restrict-Local-Admins-Clients, GPO-Restrict-Local-Admins-Servers und GPO-Windows-LAPS.</w:t>
      </w:r>
    </w:p>
    <w:p>
      <w:pPr>
        <w:spacing w:after="160" w:line="320"/>
        <w:jc w:val="both"/>
      </w:pPr>
      <w:r>
        <w:t xml:space="preserve">Die jeweilige Funktion der einzelnen Richtlinien wird in den folgenden Abschnitten dieses Teils ausführlich erläutert.</w:t>
      </w:r>
    </w:p>
    <w:p>
      <w:pPr>
        <w:pStyle w:val="Heading1"/>
        <w:spacing w:after="200" w:before="360"/>
      </w:pPr>
      <w:r>
        <w:t xml:space="preserve">2.2  AD CS — Interne Zertifizierungsinfrastruktur</w:t>
      </w:r>
    </w:p>
    <w:p>
      <w:pPr>
        <w:spacing w:after="160" w:line="320"/>
        <w:jc w:val="both"/>
      </w:pPr>
      <w:r>
        <w:t xml:space="preserve">Für die unternehmensinterne, vertrauenswürdige Kommunikation wurden die </w:t>
      </w:r>
      <w:r>
        <w:rPr>
          <w:b/>
          <w:bCs/>
        </w:rPr>
        <w:t xml:space="preserve">Active Directory Certificate Services (AD CS)</w:t>
      </w:r>
      <w:r>
        <w:t xml:space="preserve"> installiert. Mit dieser Installation wurde im internen Umfeld eine </w:t>
      </w:r>
      <w:r>
        <w:rPr>
          <w:b/>
          <w:bCs/>
        </w:rPr>
        <w:t xml:space="preserve">Root Certification Authority</w:t>
      </w:r>
      <w:r>
        <w:t xml:space="preserve"> eingerichtet. Sie bildet die zentrale Stelle, über die Systeme innerhalb der Domain vertrauenswürdige Zertifikate beziehen können.</w:t>
      </w:r>
    </w:p>
    <w:p>
      <w:pPr>
        <w:spacing w:after="160" w:line="320"/>
        <w:jc w:val="both"/>
      </w:pPr>
      <w:r>
        <w:t xml:space="preserve">Bei der Installation wurde ein neuer Private Key erzeugt und die CA als Root-CA konfiguriert. Damit können Domain Controller und Dienste innerhalb der Domain auf Grundlage einer einheitlichen Zertifikatskette TLS-basierte Kommunikation aufbauen.</w:t>
      </w:r>
    </w:p>
    <w:p>
      <w:pPr>
        <w:spacing w:after="160" w:line="320"/>
        <w:jc w:val="both"/>
      </w:pPr>
      <w:r>
        <w:t xml:space="preserve">Die AD-CS-Installation war insbesondere für </w:t>
      </w:r>
      <w:r>
        <w:rPr>
          <w:b/>
          <w:bCs/>
        </w:rPr>
        <w:t xml:space="preserve">LDAPS</w:t>
      </w:r>
      <w:r>
        <w:t xml:space="preserve"> Voraussetzung: LDAPS setzt voraus, dass auf dem Domain Controller ein passendes </w:t>
      </w:r>
      <w:r>
        <w:rPr>
          <w:b/>
          <w:bCs/>
        </w:rPr>
        <w:t xml:space="preserve">Server-Authentication-Zertifikat</w:t>
      </w:r>
      <w:r>
        <w:t xml:space="preserve"> vorhanden ist. Ohne Zertifikatsinfrastruktur läuft LDAP-Kommunikation unverschlüsselt über Port 389.</w:t>
      </w:r>
    </w:p>
    <w:p>
      <w:pPr>
        <w:pStyle w:val="Heading1"/>
        <w:spacing w:after="200" w:before="360"/>
      </w:pPr>
      <w:r>
        <w:t xml:space="preserve">2.3  LDAPS — Verschlüsselter Verzeichniszugriff</w:t>
      </w:r>
    </w:p>
    <w:p>
      <w:pPr>
        <w:spacing w:after="160" w:line="320"/>
        <w:jc w:val="both"/>
      </w:pPr>
      <w:r>
        <w:t xml:space="preserve">Im Anschluss an die AD-CS-Installation wurde der LDAPS-Test durchgeführt. </w:t>
      </w:r>
      <w:r>
        <w:rPr>
          <w:b/>
          <w:bCs/>
        </w:rPr>
        <w:t xml:space="preserve">LDAPS</w:t>
      </w:r>
      <w:r>
        <w:t xml:space="preserve"> ist die per SSL/TLS verschlüsselte Variante von LDAP und nutzt </w:t>
      </w:r>
      <w:r>
        <w:rPr>
          <w:b/>
          <w:bCs/>
        </w:rPr>
        <w:t xml:space="preserve">Port 636</w:t>
      </w:r>
      <w:r>
        <w:t xml:space="preserve">. Im Rahmen dieses Projekts wurde verifiziert, dass LDAPS auf DC01 funktionsfähig ist.</w:t>
      </w:r>
    </w:p>
    <w:p>
      <w:pPr>
        <w:pStyle w:val="Heading2"/>
        <w:spacing w:after="160" w:before="320"/>
      </w:pPr>
      <w:r>
        <w:t xml:space="preserve">Voraussetzung: gesunde DNS-Auflösung</w:t>
      </w:r>
    </w:p>
    <w:p>
      <w:pPr>
        <w:spacing w:after="160" w:line="320"/>
        <w:jc w:val="both"/>
      </w:pPr>
      <w:r>
        <w:t xml:space="preserve">Da LDAPS-Tests sowie die anschließende LAPS- und GPO-Verarbeitung allesamt auf der Namensauflösung beruhen, wurde der Status der DNS-Replikation zwischen den drei Domain Controllern überprüft. Die folgende Abbildung zeigt die in der DomainDnsZones-Partition replizierten Hostadressen der drei DCs: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600325"/>
            <wp:effectExtent t="0" r="0" b="0" l="0"/>
            <wp:docPr id="1" name="DNS_Manger_DomainDnsZone.png" descr="DNS-Manager von DC01_MANNHEIM — Container „DomainDnsZones“. Die drei replizierten Host-(A)-Datensätze 10.10.1.1, 10.10.1.2 und 10.10.1.3 entsprechen DC01, DC02 und DC03. Damit ist sichergestellt, dass alle DCs den jeweils anderen über DNS auflösen können — eine Grundvoraussetzung für LDAPS, GPO-Verarbeitung und LAPS." title="DNS-Manager von DC01_MANNHEIM — Container „DomainDnsZones“. Die drei replizierten Host-(A)-Datensätze 10.10.1.1, 10.10.1.2 und 10.10.1.3 entsprechen DC01, DC02 und DC03. Damit ist sichergestellt, dass alle DCs den jeweils anderen über DNS auflösen können — eine Grundvoraussetzung für LDAPS, GPO-Verarbeitung und LA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Abbildung: DNS-Manager von DC01_MANNHEIM — Container „DomainDnsZones“. Die drei replizierten Host-(A)-Datensätze 10.10.1.1, 10.10.1.2 und 10.10.1.3 entsprechen DC01, DC02 und DC03. Damit ist sichergestellt, dass alle DCs den jeweils anderen über DNS auflösen können — eine Grundvoraussetzung für LDAPS, GPO-Verarbeitung und LAPS.</w:t>
      </w:r>
    </w:p>
    <w:p>
      <w:pPr>
        <w:pStyle w:val="Heading2"/>
        <w:spacing w:after="160" w:before="320"/>
      </w:pPr>
      <w:r>
        <w:t xml:space="preserve">LDAPS-Test</w:t>
      </w:r>
    </w:p>
    <w:p>
      <w:pPr>
        <w:spacing w:after="160" w:line="320"/>
        <w:jc w:val="both"/>
      </w:pPr>
      <w:r>
        <w:t xml:space="preserve">PowerShell-Test der Erreichbarkeit: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Test-NetConnection DC01_Mannheim.rns.local -Port 636</w:t>
            </w:r>
          </w:p>
        </w:tc>
      </w:tr>
    </w:tbl>
    <w:p>
      <w:pPr>
        <w:spacing w:after="160" w:line="320"/>
        <w:jc w:val="both"/>
      </w:pPr>
      <w:r>
        <w:t xml:space="preserve">Ergebnis: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TcpTestSucceeded : True</w:t>
            </w:r>
          </w:p>
        </w:tc>
      </w:tr>
    </w:tbl>
    <w:p>
      <w:pPr>
        <w:spacing w:after="160" w:line="320"/>
        <w:jc w:val="both"/>
      </w:pPr>
      <w:r>
        <w:t xml:space="preserve">Zusätzlich wurde mit dem </w:t>
      </w:r>
      <w:r>
        <w:rPr>
          <w:b/>
          <w:bCs/>
        </w:rPr>
        <w:t xml:space="preserve">LDP-Tool</w:t>
      </w:r>
      <w:r>
        <w:t xml:space="preserve"> verifiziert, dass die SSL-Verbindung tatsächlich aufgebaut und der </w:t>
      </w:r>
      <w:r>
        <w:rPr>
          <w:b/>
          <w:bCs/>
        </w:rPr>
        <w:t xml:space="preserve">RootDSE</w:t>
      </w:r>
      <w:r>
        <w:t xml:space="preserve"> ausgelesen werden kann. Damit ist bestätigt, dass DC01 LDAP-Anfragen sicher über LDAPS bedient.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9700" w:sz="4"/>
              <w:left w:val="single" w:color="DA9700" w:sz="24"/>
              <w:bottom w:val="single" w:color="DA9700" w:sz="4"/>
              <w:right w:val="single" w:color="DA9700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Warum LDAPS sicherheitskritisch ist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LDAP-Traffic enthält Authentifizierungsdaten und Verzeichnisabfragen. Unverschlüsselte LDAP-Kommunikation erhöht das Risiko von Sniffing- und Man-in-the-Middle-Angriffen erheblich. Mit LDAPS wird dieses Risiko reduziert.</w:t>
            </w:r>
          </w:p>
        </w:tc>
      </w:tr>
    </w:tbl>
    <w:p>
      <w:pPr>
        <w:pStyle w:val="Heading1"/>
        <w:spacing w:after="200" w:before="360"/>
      </w:pPr>
      <w:r>
        <w:t xml:space="preserve">2.4  Windows LAPS — Installation und Schema-Update</w:t>
      </w:r>
    </w:p>
    <w:p>
      <w:pPr>
        <w:spacing w:after="160" w:line="320"/>
        <w:jc w:val="both"/>
      </w:pPr>
      <w:r>
        <w:t xml:space="preserve">Für die sichere Verwaltung der lokalen Administrator-Kennwörter wurde </w:t>
      </w:r>
      <w:r>
        <w:rPr>
          <w:b/>
          <w:bCs/>
        </w:rPr>
        <w:t xml:space="preserve">Windows LAPS</w:t>
      </w:r>
      <w:r>
        <w:t xml:space="preserve"> in Betrieb genommen. Anfänglich waren die LAPS-PowerShell-Cmdlets auf dem System nicht verfügbar. Nach einem Windows-Update wurde die Verfügbarkeit über folgenden Befehl überprüft: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Get-Command *Laps*</w:t>
            </w:r>
          </w:p>
        </w:tc>
      </w:tr>
    </w:tbl>
    <w:p>
      <w:pPr>
        <w:spacing w:after="160" w:line="320"/>
        <w:jc w:val="both"/>
      </w:pPr>
      <w:r>
        <w:t xml:space="preserve">Nachdem die Cmdlets vorhanden waren, erfolgte das Active-Directory-Schema-Update: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Update-LapsADSchema</w:t>
            </w:r>
          </w:p>
        </w:tc>
      </w:tr>
    </w:tbl>
    <w:p>
      <w:pPr>
        <w:spacing w:after="160" w:line="320"/>
        <w:jc w:val="both"/>
      </w:pPr>
      <w:r>
        <w:t xml:space="preserve">Dieses Kommando ergänzt das AD-Schema um die Windows-LAPS-Attribute: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ms-LAPS-Password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ms-LAPS-EncryptedPassword</w:t>
      </w:r>
    </w:p>
    <w:p>
      <w:pPr>
        <w:spacing w:after="160" w:line="320"/>
        <w:jc w:val="both"/>
      </w:pPr>
      <w:r>
        <w:t xml:space="preserve">Anschließend wurde der zuständigen OU die </w:t>
      </w:r>
      <w:r>
        <w:rPr>
          <w:b/>
          <w:bCs/>
        </w:rPr>
        <w:t xml:space="preserve">Self-Permission</w:t>
      </w:r>
      <w:r>
        <w:t xml:space="preserve"> eingeräumt, sodass Computerobjekte ihre eigenen lokalen Administrator-Kennwörter in AD schreiben dürfen: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Set-LapsADComputerSelfPermission -Identity `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"OU=Standorte,OU=Rhein-Neckar-Solution-gmbH,DC=rns,DC=local"</w:t>
            </w:r>
          </w:p>
        </w:tc>
      </w:tr>
    </w:tbl>
    <w:p>
      <w:pPr>
        <w:pStyle w:val="Heading1"/>
        <w:spacing w:after="200" w:before="360"/>
      </w:pPr>
      <w:r>
        <w:t xml:space="preserve">2.5  Windows LAPS — GPO und Tests</w:t>
      </w:r>
    </w:p>
    <w:p>
      <w:pPr>
        <w:spacing w:after="160" w:line="320"/>
        <w:jc w:val="both"/>
      </w:pPr>
      <w:r>
        <w:t xml:space="preserve">Für die produktive Inbetriebnahme von LAPS wurde das GPO </w:t>
      </w:r>
      <w:r>
        <w:rPr>
          <w:b/>
          <w:bCs/>
        </w:rPr>
        <w:t xml:space="preserve">GPO-Windows-LAPS</w:t>
      </w:r>
      <w:r>
        <w:t xml:space="preserve"> erstellt und mit der Haupt-OU des Unternehmens verknüpft. Damit erreicht die Richtlinie sowohl die Client- als auch die Server-OUs unterhalb der Standorte.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495550"/>
            <wp:effectExtent t="0" r="0" b="0" l="0"/>
            <wp:docPr id="1" name="Gruppenrichtlinienverwaltung_rnsgmbH.png" descr="Gruppenrichtlinienverwaltung — Die OU „Rhein-Neckar-Solution-gmbH“ mit ihren verknüpften GPOs. In der Verknüpfungsreihenfolge: 1) GPO-Map-Network-Drives, 2) GPO-Windows-LAPS. Beide sind aktiv. Damit wird Windows LAPS auf alle untergeordneten Computer- und Server-OUs angewendet." title="Gruppenrichtlinienverwaltung — Die OU „Rhein-Neckar-Solution-gmbH“ mit ihren verknüpften GPOs. In der Verknüpfungsreihenfolge: 1) GPO-Map-Network-Drives, 2) GPO-Windows-LAPS. Beide sind aktiv. Damit wird Windows LAPS auf alle untergeordneten Computer- und Server-OUs angewend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Abbildung: Gruppenrichtlinienverwaltung — Die OU „Rhein-Neckar-Solution-gmbH“ mit ihren verknüpften GPOs. In der Verknüpfungsreihenfolge: 1) GPO-Map-Network-Drives, 2) GPO-Windows-LAPS. Beide sind aktiv. Damit wird Windows LAPS auf alle untergeordneten Computer- und Server-OUs angewendet.</w:t>
      </w:r>
    </w:p>
    <w:p>
      <w:pPr>
        <w:pStyle w:val="Heading2"/>
        <w:spacing w:after="160" w:before="320"/>
      </w:pPr>
      <w:r>
        <w:t xml:space="preserve">Anwendung auf den Clients</w:t>
      </w:r>
    </w:p>
    <w:p>
      <w:pPr>
        <w:spacing w:after="160" w:line="320"/>
        <w:jc w:val="both"/>
      </w:pPr>
      <w:r>
        <w:t xml:space="preserve">Auf den Clients wurde die Richtlinie ausgelöst: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gpupdate /target:computer /force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Invoke-LapsPolicyProcessing</w:t>
            </w:r>
          </w:p>
        </w:tc>
      </w:tr>
    </w:tbl>
    <w:p>
      <w:pPr>
        <w:spacing w:after="160" w:line="320"/>
        <w:jc w:val="both"/>
      </w:pPr>
      <w:r>
        <w:t xml:space="preserve">Anschließend erfolgte der Test des Kennwortabrufs von DC01 aus: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Get-LapsADPassword -Identity MANNHEIM-CLIENT -AsPlainText</w:t>
            </w:r>
          </w:p>
        </w:tc>
      </w:tr>
    </w:tbl>
    <w:p>
      <w:pPr>
        <w:spacing w:after="160" w:line="320"/>
        <w:jc w:val="both"/>
      </w:pPr>
      <w:r>
        <w:t xml:space="preserve">Das erfolgreiche Ergebnis lieferte folgende Informationen: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ComputerName        : MANNHEIM-CLIENT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             : Administrator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              : EncryptedPassword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DecryptionStatus    : Success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AuthorizedDecryptor : RNS\Domänen-Admins</w:t>
            </w:r>
          </w:p>
        </w:tc>
      </w:tr>
    </w:tbl>
    <w:p>
      <w:pPr>
        <w:spacing w:after="160" w:line="320"/>
        <w:jc w:val="both"/>
      </w:pPr>
      <w:r>
        <w:t xml:space="preserve">LAPS wurde anschließend ebenfalls für </w:t>
      </w:r>
      <w:r>
        <w:rPr>
          <w:i/>
          <w:iCs/>
        </w:rPr>
        <w:t xml:space="preserve">MUENCHEN-CLIENT</w:t>
      </w:r>
      <w:r>
        <w:t xml:space="preserve"> und </w:t>
      </w:r>
      <w:r>
        <w:rPr>
          <w:i/>
          <w:iCs/>
        </w:rPr>
        <w:t xml:space="preserve">STUTTGART-CLIEN</w:t>
      </w:r>
      <w:r>
        <w:t xml:space="preserve"> verifiziert. Auf der Stuttgart-Seite scheiterte der erste Aufruf zunächst nur an einem Namensfehler — mit dem korrekten Objektnamen </w:t>
      </w:r>
      <w:r>
        <w:rPr>
          <w:i/>
          <w:iCs/>
        </w:rPr>
        <w:t xml:space="preserve">STUTTGART-CLIEN</w:t>
      </w:r>
      <w:r>
        <w:t xml:space="preserve"> (15-Zeichen-Grenze) konnte das Kennwort erfolgreich ausgelesen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39C" w:sz="4"/>
              <w:left w:val="single" w:color="0E639C" w:sz="24"/>
              <w:bottom w:val="single" w:color="0E639C" w:sz="4"/>
              <w:right w:val="single" w:color="0E639C" w:sz="4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Bedeutung von LAPS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Lokale Administrator-Kennwörter werden auf Client- und Server-Systemen jetzt zentral, eindeutig und verschlüsselt in Active Directory verwaltet. Damit ist eines der wirkungsvollsten Mittel zur Reduktion des Lateral-Movement-Risikos umgesetzt — ein kompromittierter lokaler Administrator-Hash auf einem Rechner öffnet keine Türen mehr auf anderen Maschinen.</w:t>
            </w:r>
          </w:p>
        </w:tc>
      </w:tr>
    </w:tbl>
    <w:p>
      <w:pPr>
        <w:pStyle w:val="Heading1"/>
        <w:spacing w:after="200" w:before="360"/>
      </w:pPr>
      <w:r>
        <w:t xml:space="preserve">2.6  Client Hardening Baseline</w:t>
      </w:r>
    </w:p>
    <w:p>
      <w:pPr>
        <w:spacing w:after="160" w:line="320"/>
        <w:jc w:val="both"/>
      </w:pPr>
      <w:r>
        <w:t xml:space="preserve">Für die Client-Systeme wurde das GPO </w:t>
      </w:r>
      <w:r>
        <w:rPr>
          <w:b/>
          <w:bCs/>
        </w:rPr>
        <w:t xml:space="preserve">GPO-Baseline-Client-Hardening</w:t>
      </w:r>
      <w:r>
        <w:t xml:space="preserve"> erstellt. Dieses GPO wurde mit den Computer-OUs unter Mannheim, Stuttgart und München verknüpft.</w:t>
      </w:r>
    </w:p>
    <w:p>
      <w:pPr>
        <w:spacing w:after="160" w:line="320"/>
        <w:jc w:val="both"/>
      </w:pPr>
      <w:r>
        <w:t xml:space="preserve">Mit dieser Baseline wurden folgende Ziele umgesetzt: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SMBv1 deaktiviert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Guest-Konto deaktiviert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 Firewall aktiv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Microsoft Defender aktiv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Protection aktiv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Behavior Monitoring aktiv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IOAV-Protection aktiv</w:t>
      </w:r>
    </w:p>
    <w:p>
      <w:pPr>
        <w:spacing w:after="160" w:line="320"/>
        <w:jc w:val="both"/>
      </w:pPr>
      <w:r>
        <w:t xml:space="preserve">Auf </w:t>
      </w:r>
      <w:r>
        <w:rPr>
          <w:i/>
          <w:iCs/>
        </w:rPr>
        <w:t xml:space="preserve">MANNHEIM-CLIENT</w:t>
      </w:r>
      <w:r>
        <w:t xml:space="preserve"> wurde die Anwendung des GPOs verifiziert. Die Ausgabe von </w:t>
      </w:r>
      <w:r>
        <w:rPr>
          <w:rFonts w:ascii="Consolas" w:cs="Consolas" w:eastAsia="Consolas" w:hAnsi="Consolas"/>
        </w:rPr>
        <w:t xml:space="preserve">gpresult /r /scope computer</w:t>
      </w:r>
      <w:r>
        <w:t xml:space="preserve"> zeigte das entsprechende GPO. Registry- und PowerShell-Kontrollen bestätigten, dass SMB1 deaktiviert, das Guest-Konto inaktiv ist, die Firewall-Profile aktiv sind und alle Defender-Komponenten laufen.</w:t>
      </w:r>
    </w:p>
    <w:p>
      <w:pPr>
        <w:spacing w:after="160" w:line="320"/>
        <w:jc w:val="both"/>
      </w:pPr>
      <w:r>
        <w:t xml:space="preserve">Mit dieser Baseline werden die Client-Systeme aus ihrem permissiven Standardzustand mit Legacy-Protokollunterstützung in einen sichereren Grundzustand überführt.</w:t>
      </w:r>
    </w:p>
    <w:p>
      <w:pPr>
        <w:pStyle w:val="Heading1"/>
        <w:spacing w:after="200" w:before="360"/>
      </w:pPr>
      <w:r>
        <w:t xml:space="preserve">2.7  Server Hardening Baseline</w:t>
      </w:r>
    </w:p>
    <w:p>
      <w:pPr>
        <w:spacing w:after="160" w:line="320"/>
        <w:jc w:val="both"/>
      </w:pPr>
      <w:r>
        <w:t xml:space="preserve">Für die Server wurde das GPO </w:t>
      </w:r>
      <w:r>
        <w:rPr>
          <w:b/>
          <w:bCs/>
        </w:rPr>
        <w:t xml:space="preserve">GPO-Baseline-Server-Hardening</w:t>
      </w:r>
      <w:r>
        <w:t xml:space="preserve"> erstellt. Es wurde aus dem Client-Baseline-GPO kopiert, sodass identische Sicherheitsprinzipien für Server-Systeme schnell und konsistent übernommen werden konnten.</w:t>
      </w:r>
    </w:p>
    <w:p>
      <w:pPr>
        <w:spacing w:after="160" w:line="320"/>
        <w:jc w:val="both"/>
      </w:pPr>
      <w:r>
        <w:t xml:space="preserve">Das GPO wurde ausschließlich mit der Server-OU unter Mannheim verknüpft. </w:t>
      </w:r>
      <w:r>
        <w:rPr>
          <w:i/>
          <w:iCs/>
        </w:rPr>
        <w:t xml:space="preserve">SERVER01</w:t>
      </w:r>
      <w:r>
        <w:t xml:space="preserve"> erhielt das GPO zunächst nicht, da das Objekt — wie in Teil 1, Abschnitt 1.10 dokumentiert — fälschlicherweise in der OU </w:t>
      </w:r>
      <w:r>
        <w:rPr>
          <w:i/>
          <w:iCs/>
        </w:rPr>
        <w:t xml:space="preserve">Service-Konten</w:t>
      </w:r>
      <w:r>
        <w:t xml:space="preserve"> lag. Nach der Verschiebung in die korrekte Server-OU erschien </w:t>
      </w:r>
      <w:r>
        <w:rPr>
          <w:i/>
          <w:iCs/>
        </w:rPr>
        <w:t xml:space="preserve">GPO-Baseline-Server-Hardening</w:t>
      </w:r>
      <w:r>
        <w:t xml:space="preserve"> in der </w:t>
      </w:r>
      <w:r>
        <w:rPr>
          <w:rFonts w:ascii="Consolas" w:cs="Consolas" w:eastAsia="Consolas" w:hAnsi="Consolas"/>
        </w:rPr>
        <w:t xml:space="preserve">gpresult</w:t>
      </w:r>
      <w:r>
        <w:t xml:space="preserve">-Ausgabe.</w:t>
      </w:r>
    </w:p>
    <w:p>
      <w:pPr>
        <w:spacing w:after="160" w:line="320"/>
        <w:jc w:val="both"/>
      </w:pPr>
      <w:r>
        <w:t xml:space="preserve">Auf SERVER01 wurde anschließend verifiziert, dass das Guest-Konto deaktiviert und SMB1 nicht mehr verfügbar ist. Damit ist auch das Server-System auf eine Mindest-Sicherheitsbaseline gehoben.</w:t>
      </w:r>
    </w:p>
    <w:p>
      <w:pPr>
        <w:pStyle w:val="Heading1"/>
        <w:spacing w:after="200" w:before="360"/>
      </w:pPr>
      <w:r>
        <w:t xml:space="preserve">2.8  Audit Policy Baseline</w:t>
      </w:r>
    </w:p>
    <w:p>
      <w:pPr>
        <w:spacing w:after="160" w:line="320"/>
        <w:jc w:val="both"/>
      </w:pPr>
      <w:r>
        <w:t xml:space="preserve">Damit Sicherheitsereignisse nachvollziehbar werden, wurde das GPO </w:t>
      </w:r>
      <w:r>
        <w:rPr>
          <w:b/>
          <w:bCs/>
        </w:rPr>
        <w:t xml:space="preserve">GPO-Audit-Policy-Baseline</w:t>
      </w:r>
      <w:r>
        <w:t xml:space="preserve"> erstellt. Das GPO wurde mit den Client-Computer-OUs und der Mannheim-Server-OU verknüpft.</w:t>
      </w:r>
    </w:p>
    <w:p>
      <w:pPr>
        <w:spacing w:after="160" w:line="320"/>
        <w:jc w:val="both"/>
      </w:pPr>
      <w:r>
        <w:t xml:space="preserve">Im Rahmen der Audit Policy wurden folgende Ereigniskategorien aktiviert: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Logon Success /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Logoff Success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Kerberos Authentication Success /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Kerberos Service Ticket Operations Success /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Account Management Success /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Group Management Success /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Change Success /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System Success /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Integrity Success / Failure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State Change Success / Failure</w:t>
      </w:r>
    </w:p>
    <w:p>
      <w:pPr>
        <w:spacing w:after="160" w:line="320"/>
        <w:jc w:val="both"/>
      </w:pPr>
      <w:r>
        <w:t xml:space="preserve">Auf MANNHEIM-CLIENT wurden die Einstellungen mit folgendem Befehl verifiziert: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auditpol /get /category:*</w:t>
            </w:r>
          </w:p>
        </w:tc>
      </w:tr>
    </w:tbl>
    <w:p>
      <w:pPr>
        <w:spacing w:after="160" w:line="320"/>
        <w:jc w:val="both"/>
      </w:pPr>
      <w:r>
        <w:t xml:space="preserve">Diese Struktur erzeugt die nötige Grundlast an Sicherheitsprotokollen, die für eine zukünftige zentrale Log-Aggregation oder ein SIEM-System erforderlich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24"/>
              <w:bottom w:val="single" w:color="808080" w:sz="4"/>
              <w:right w:val="single" w:color="808080" w:sz="4"/>
            </w:tcBorders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Ausgesparter Schritt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Die File-System-Audit-Policy wurde aktiviert, jedoch wurden auf einer bestimmten NTFS-Freigabe keine konkreten Audit-Regeln definiert. Dieser ergänzende Schritt lässt sich als eigenständiges File-Server-Auditing-Projekt umsetzen.</w:t>
            </w:r>
          </w:p>
        </w:tc>
      </w:tr>
    </w:tbl>
    <w:p>
      <w:pPr>
        <w:pStyle w:val="Heading1"/>
        <w:spacing w:after="200" w:before="360"/>
      </w:pPr>
      <w:r>
        <w:t xml:space="preserve">2.9  Local-Admin-Restriction — Versuch</w:t>
      </w:r>
    </w:p>
    <w:p>
      <w:pPr>
        <w:spacing w:after="160" w:line="320"/>
        <w:jc w:val="both"/>
      </w:pPr>
      <w:r>
        <w:t xml:space="preserve">Um die lokalen Administratoren zentral zu verwalten, wurden zwei Gruppen angelegt: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GG_Local_Admins_Workstations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GG_Local_Admins_Servers</w:t>
            </w:r>
          </w:p>
        </w:tc>
      </w:tr>
    </w:tbl>
    <w:p>
      <w:pPr>
        <w:spacing w:after="160" w:line="320"/>
        <w:jc w:val="both"/>
      </w:pPr>
      <w:r>
        <w:t xml:space="preserve">Zusätzlich wurden zwei GPOs erstellt: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GPO-Restrict-Local-Admins-Clients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GPO-Restrict-Local-Admins-Servers</w:t>
            </w:r>
          </w:p>
        </w:tc>
      </w:tr>
    </w:tbl>
    <w:p>
      <w:pPr>
        <w:spacing w:after="160" w:line="320"/>
        <w:jc w:val="both"/>
      </w:pPr>
      <w:r>
        <w:t xml:space="preserve">Zunächst wurde der Weg über </w:t>
      </w:r>
      <w:r>
        <w:rPr>
          <w:i/>
          <w:iCs/>
        </w:rPr>
        <w:t xml:space="preserve">Group Policy Preferences → Local Users and Groups</w:t>
      </w:r>
      <w:r>
        <w:t xml:space="preserve"> gewählt. Ziel war es, die Gruppe </w:t>
      </w:r>
      <w:r>
        <w:rPr>
          <w:rFonts w:ascii="Consolas" w:cs="Consolas" w:eastAsia="Consolas" w:hAnsi="Consolas"/>
        </w:rPr>
        <w:t xml:space="preserve">RNS\GG_Local_Admins_Workstations</w:t>
      </w:r>
      <w:r>
        <w:t xml:space="preserve"> automatisiert in die lokale Administratoren-Gruppe der Clients aufzunehmen. Das GPO erschien zwar in der Client-Auswertung, die erwartete Gruppenmitgliedschaft wurde jedoch nicht automatisch erzeugt.</w:t>
      </w:r>
    </w:p>
    <w:p>
      <w:pPr>
        <w:spacing w:after="160" w:line="320"/>
        <w:jc w:val="both"/>
      </w:pPr>
      <w:r>
        <w:t xml:space="preserve">Der manuelle PowerShell-Befehl funktionierte hingegen erwartungsgemäß: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Add-LocalGroupMember -Group "Administratoren" -Member "RNS\GG_Local_Admins_Workstations"</w:t>
            </w:r>
          </w:p>
        </w:tc>
      </w:tr>
    </w:tbl>
    <w:p>
      <w:pPr>
        <w:spacing w:after="160" w:line="320"/>
        <w:jc w:val="both"/>
      </w:pPr>
      <w:r>
        <w:t xml:space="preserve">Das zeigte, dass die AD-Gruppenauflösung und die Berechtigungsseite grundsätzlich funktionierten. Die GPP-Automatisierung versagte dennoch. Auch ein alternativer Ansatz über ein Startup-Script führte nach einem Neustart nicht zur erwarteten Gruppenmitgliedschaft.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9700" w:sz="4"/>
              <w:left w:val="single" w:color="DA9700" w:sz="24"/>
              <w:bottom w:val="single" w:color="DA9700" w:sz="4"/>
              <w:right w:val="single" w:color="DA9700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Bewusste Entscheidung: Kill-Switch / Aufwandsmanagement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Dieser Abschnitt wurde aktiv zurückgestellt, um den Projektfortschritt nicht zu blockieren. In realen Projekten werden nicht alle Probleme so weit aufgeblasen, dass sie das Hauptziel gefährden — Zeit- und Scope-Management sind Teil professioneller Projektarbeit. Die Local-Admin-Restriction bleibt als bekannt offener Punkt dokumentiert.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Teil 2 — Zusammenfassung und Erkenntnisse</w:t>
      </w:r>
    </w:p>
    <w:p>
      <w:pPr>
        <w:spacing w:after="160" w:line="320"/>
        <w:jc w:val="both"/>
      </w:pPr>
      <w:r>
        <w:t xml:space="preserve">Stand am Ende von Teil 2 — die durchgesetzten Sicherheitskontrollen im Überblick: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E63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Sicherheitskontrolle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E63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E63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 CS / Root-CA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Eingerichtet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 PKI als Basis für TLS-basierte Dienste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LDAPS (Port 636)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Verifiziert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Verschlüsselter Verzeichniszugriff auf DC01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Windows LAPS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Aktiv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Lokale Admin-Kennwörter zentral, eindeutig, verschlüsselt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Hardening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Per GPO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SMBv1 aus, Guest aus, Defender + Firewall 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Hardening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Per GPO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Server-Baseline analog zu Clients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Policy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Aktiv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Logon-, Kerberos-, AccountMgmt-, PolicyChange-Events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DNS-Replikation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Verifiziert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DomainDnsZones — drei DCs sauber repliziert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Local-Admin-Restriction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○ Zurückgestellt</w:t>
            </w:r>
          </w:p>
        </w:tc>
        <w:tc>
          <w:tcPr>
            <w:tcW w:type="dxa" w:w="38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GPP-Automatisierung nicht erfolgreich; manuell verifiziert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t xml:space="preserve">Wesentliche Erkenntnisse aus Teil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Zero-Trust beginnt im internen Netzwerk — Default-Einstellungen reichen nicht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LDAPS ohne PKI ist nicht möglich — AD CS ist die natürliche Voraussetzung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LAPS reduziert das Lateral-Movement-Risiko durch eindeutige lokale Kennwörter signifikant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Saubere OU-Strukturen aus Teil 1 zahlen sich beim GPO-Linking unmittelbar aus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Policy erzeugt das Mindestmaß an Telemetrie für ein späteres SIEM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Kontrolliertes Aufschieben offener Punkte ist Projektmanagement — keine Schwäche</w:t>
      </w:r>
    </w:p>
    <w:p>
      <w:pPr>
        <w:spacing w:after="160" w:line="320"/>
        <w:jc w:val="both"/>
      </w:pPr>
      <w:r>
        <w:t xml:space="preserve">Mit dieser Härtungsbasis ist das On-Premises-Fundament robust genug, um in Teil 3 die Hybrid-Cloud-Integration mit Microsoft Entra ID zu beginnen.</w:t>
      </w:r>
    </w:p>
    <w:p>
      <w:pPr>
        <w:spacing w:before="480"/>
        <w:jc w:val="center"/>
      </w:pPr>
      <w:r>
        <w:rPr>
          <w:i/>
          <w:iCs/>
          <w:color w:val="0E639C"/>
          <w:sz w:val="24"/>
          <w:szCs w:val="24"/>
        </w:rPr>
        <w:t xml:space="preserve">▶  Nächster Teil: Teil 3 — Hybrid-Cloud-Bereitschaft und Entra-ID-Integration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Enterprise Hybrid Cloud Security Architecture  |  Teil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E639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9c327c7ebfa50e6efa9ff4476cb5cb9643c926.png"/><Relationship Id="rId10" Type="http://schemas.openxmlformats.org/officeDocument/2006/relationships/image" Target="media/5c4cf54a3991b2f40c13d6ac10c982e061b68302.png"/><Relationship Id="rId11" Type="http://schemas.openxmlformats.org/officeDocument/2006/relationships/image" Target="media/a94a2f7faccf734c5620cb9a9d48edc8b235282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2 — On-Premises Security &amp; Hardening</dc:title>
  <dc:creator>Rhein-Neckar-Solution GmbH — Projektdokumentation</dc:creator>
  <dc:description>Enterprise Hybrid Cloud Security Architecture — Teil 2</dc:description>
  <cp:lastModifiedBy>Un-named</cp:lastModifiedBy>
  <cp:revision>1</cp:revision>
  <dcterms:created xsi:type="dcterms:W3CDTF">2026-05-11T18:24:59.397Z</dcterms:created>
  <dcterms:modified xsi:type="dcterms:W3CDTF">2026-05-11T18:24:59.397Z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