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0E639C"/>
          <w:sz w:val="36"/>
          <w:szCs w:val="36"/>
        </w:rPr>
        <w:t xml:space="preserve">Enterprise Hybrid Cloud Security Architecture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Rhein-Neckar-Solution GmbH</w:t>
      </w:r>
    </w:p>
    <w:p>
      <w:pPr>
        <w:spacing w:after="1200"/>
        <w:jc w:val="center"/>
      </w:pPr>
      <w:r>
        <w:rPr>
          <w:i/>
          <w:iCs/>
          <w:color w:val="888888"/>
          <w:sz w:val="22"/>
          <w:szCs w:val="22"/>
        </w:rPr>
        <w:t xml:space="preserve">Eine praxisnahe Hybrid-Identity-Implementierung</w:t>
      </w:r>
    </w:p>
    <w:p>
      <w:pPr>
        <w:spacing w:after="80"/>
        <w:jc w:val="center"/>
      </w:pPr>
      <w:r>
        <w:rPr>
          <w:b/>
          <w:bCs/>
          <w:color w:val="0E639C"/>
          <w:sz w:val="56"/>
          <w:szCs w:val="56"/>
        </w:rPr>
        <w:t xml:space="preserve">TEIL 3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Hybrid-Cloud-Bereitschaft und Entra-ID-Integration</w:t>
      </w:r>
    </w:p>
    <w:p>
      <w:pPr>
        <w:spacing w:after="2400"/>
        <w:jc w:val="center"/>
      </w:pPr>
      <w:r>
        <w:rPr>
          <w:i/>
          <w:iCs/>
          <w:color w:val="777777"/>
          <w:sz w:val="24"/>
          <w:szCs w:val="24"/>
        </w:rPr>
        <w:t xml:space="preserve">Hybrid Cloud Readiness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Dokumentation – 3 von 4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3.1  Absicherung des Systems vor dem Cloud-Übergang</w:t>
      </w:r>
    </w:p>
    <w:p>
      <w:pPr>
        <w:spacing w:after="160" w:line="320"/>
        <w:jc w:val="both"/>
      </w:pPr>
      <w:r>
        <w:t xml:space="preserve">Vor dem Übergang zur Microsoft-Entra-Integration wurde entschieden, die vorhandene On-Premises-Infrastruktur in einen </w:t>
      </w:r>
      <w:r>
        <w:rPr>
          <w:b/>
          <w:bCs/>
        </w:rPr>
        <w:t xml:space="preserve">sicheren Rollback-Zustand</w:t>
      </w:r>
      <w:r>
        <w:t xml:space="preserve"> zu überführen. Schritte wie die Installation des Cloud-Sync-Agents, das Hinzufügen einer zweiten NIC auf DC02, die Tenant-Anbindung und die UPN-Konvertierung sind Eingriffe, die das produktive Domain-Verhalten beeinflussen können.</w:t>
      </w:r>
    </w:p>
    <w:p>
      <w:pPr>
        <w:spacing w:after="160" w:line="320"/>
        <w:jc w:val="both"/>
      </w:pPr>
      <w:r>
        <w:t xml:space="preserve">Aus diesem Grund wurden auf allen kritischen Maschinen Hyper-V-Checkpoints erstellt. Der Checkpoint-Name wurde wie folgt vergeben: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0E639C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Pre-Entra-CloudSync-Checkpoint-2026-05-06</w:t>
            </w:r>
          </w:p>
        </w:tc>
      </w:tr>
    </w:tbl>
    <w:p>
      <w:pPr>
        <w:spacing w:after="160" w:line="320"/>
        <w:jc w:val="both"/>
      </w:pPr>
      <w:r>
        <w:t xml:space="preserve">Maschinen, für die der Checkpoint erstellt wurde: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DC01_MANNHEIM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DC02_MANNHEIM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DC03_STUTTGART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SERVER01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MANNHEIM-CLIENT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STUTTGART-CLIEN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MUENCHEN-CLIENT</w:t>
      </w:r>
    </w:p>
    <w:p>
      <w:pPr>
        <w:spacing w:after="160" w:line="320"/>
        <w:jc w:val="both"/>
      </w:pPr>
      <w:r>
        <w:t xml:space="preserve">Dieser Schritt wurde nicht als Production Backup verstanden, sondern als kontrollierbarer Rückkehrpunkt in einer Laborumgebung vor riskanten Änderungen. In einer realen Produktionsumgebung sind Domain-Controller-Checkpoints mit besonderer Vorsicht zu behandeln; in einer Laborumgebung ist diese Methode jedoch ein geeignetes Mittel, um kontrolliert voranzuschreiten.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9700" w:sz="4"/>
              <w:left w:val="single" w:color="DA9700" w:sz="24"/>
              <w:bottom w:val="single" w:color="DA9700" w:sz="4"/>
              <w:right w:val="single" w:color="DA9700" w:sz="4"/>
            </w:tcBorders>
            <w:shd w:fill="FFF4C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⚠  Hinweis zu DC-Checkpoints in der Produktion</w:t>
            </w:r>
          </w:p>
          <w:p>
            <w:pPr>
              <w:jc w:val="both"/>
            </w:pPr>
            <w:r>
              <w:rPr>
                <w:sz w:val="22"/>
                <w:szCs w:val="22"/>
              </w:rPr>
              <w:t xml:space="preserve">In produktiven Umgebungen darf ein Domain-Controller-Checkpoint nicht als Backup verwendet werden. Ein DC-Rollback kann zu USN-Rollback und Replikationsproblemen führen. Im Labor ist diese Methode jedoch ein legitimes Mittel, um kurzzeitige Rücksprungpunkte vor riskanten Änderungen zu schaffen.</w:t>
            </w:r>
          </w:p>
        </w:tc>
      </w:tr>
    </w:tbl>
    <w:p>
      <w:pPr>
        <w:spacing w:after="160" w:line="320"/>
        <w:jc w:val="both"/>
      </w:pPr>
      <w:r>
        <w:t xml:space="preserve">Nach dem Checkpoint wurde erneut ein On-Premises-Health-Check durchgeführt. DNS, Replikation, Dienste, GPOs und Computer-Objekte wurden überprüft. Nach diesen Kontrollen wurde mit der Entra-Cloud-Sync-Phase begonnen — das On-Premises-System wurde also in einem stabilen Zustand belassen, bevor die Cloud-Schritte folgten.</w:t>
      </w:r>
    </w:p>
    <w:p>
      <w:pPr>
        <w:pStyle w:val="Heading1"/>
        <w:spacing w:after="200" w:before="360"/>
      </w:pPr>
      <w:r>
        <w:t xml:space="preserve">3.2  Entra-Tenant-Vorbereitung</w:t>
      </w:r>
    </w:p>
    <w:p>
      <w:pPr>
        <w:spacing w:after="160" w:line="320"/>
        <w:jc w:val="both"/>
      </w:pPr>
      <w:r>
        <w:t xml:space="preserve">Auf der Entra-Seite war bereits ein Tenant vorhanden: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0E639C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Default Directory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gokhanzehirliogluhotmail.onmicrosoft.com</w:t>
            </w:r>
          </w:p>
        </w:tc>
      </w:tr>
    </w:tbl>
    <w:p>
      <w:pPr>
        <w:spacing w:after="160" w:line="320"/>
        <w:jc w:val="both"/>
      </w:pPr>
      <w:r>
        <w:t xml:space="preserve">Zu Beginn war der Tenant nahezu leer. </w:t>
      </w:r>
      <w:r>
        <w:rPr>
          <w:b/>
          <w:bCs/>
        </w:rPr>
        <w:t xml:space="preserve">Entra Connect</w:t>
      </w:r>
      <w:r>
        <w:t xml:space="preserve"> war nicht aktiv. Im Rahmen dieses Projekts wurde innerhalb des Tenants eine eigene Vorbereitung durchgeführt.</w:t>
      </w:r>
    </w:p>
    <w:p>
      <w:pPr>
        <w:spacing w:after="80" w:before="200"/>
        <w:jc w:val="center"/>
      </w:pPr>
      <w:r>
        <w:drawing>
          <wp:inline distT="0" distB="0" distL="0" distR="0">
            <wp:extent cx="4476750" cy="3914775"/>
            <wp:effectExtent t="0" r="0" b="0" l="0"/>
            <wp:docPr id="1" name="Microsfoft_Entra_Admin_Center_Entra_ID_übersciht.png" descr="Microsoft Entra Admin Center — Übersicht des Default Directory. Mandanten-ID c8225d50-…, primäre Domäne gokhanzehirliogluhotmail.onmicrosoft.com, Lizenz Microsoft Entra ID P2, 3 Benutzer, 0 Gruppen, 3 Anwendungen. Im rechten Feed: „Microsoft Entra Connect — Aktiviert“ wird nach erfolgter Agent-Registrierung erscheinen." title="Microsoft Entra Admin Center — Übersicht des Default Directory. Mandanten-ID c8225d50-…, primäre Domäne gokhanzehirliogluhotmail.onmicrosoft.com, Lizenz Microsoft Entra ID P2, 3 Benutzer, 0 Gruppen, 3 Anwendungen. Im rechten Feed: „Microsoft Entra Connect — Aktiviert“ wird nach erfolgter Agent-Registrierung erschein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Abbildung: Microsoft Entra Admin Center — Übersicht des Default Directory. Mandanten-ID c8225d50-…, primäre Domäne gokhanzehirliogluhotmail.onmicrosoft.com, Lizenz Microsoft Entra ID P2, 3 Benutzer, 0 Gruppen, 3 Anwendungen. Im rechten Feed: „Microsoft Entra Connect — Aktiviert“ wird nach erfolgter Agent-Registrierung erscheinen.</w:t>
      </w:r>
    </w:p>
    <w:p>
      <w:pPr>
        <w:spacing w:after="160" w:line="320"/>
        <w:jc w:val="both"/>
      </w:pPr>
      <w:r>
        <w:t xml:space="preserve">Im ersten Versuch wurde versucht, </w:t>
      </w:r>
      <w:r>
        <w:rPr>
          <w:i/>
          <w:iCs/>
        </w:rPr>
        <w:t xml:space="preserve">rns-cloud.de</w:t>
      </w:r>
      <w:r>
        <w:t xml:space="preserve"> als Custom Domain aufzunehmen. Microsoft stellte einen TXT-Record bereit. Dieser TXT-Record ist jedoch nicht nur ein Eintrag innerhalb von Entra — er muss tatsächlich im DNS-Panel der echten Domain hinterlegt sein. Da </w:t>
      </w:r>
      <w:r>
        <w:rPr>
          <w:i/>
          <w:iCs/>
        </w:rPr>
        <w:t xml:space="preserve">rns-cloud.de</w:t>
      </w:r>
      <w:r>
        <w:t xml:space="preserve"> keine real erworbene Domain ist, konnte die Verifikation nicht abgeschlossen werden. An dieser Stelle wurde entschieden, mit der Entra-Default-Domain weiterzuarbeiten.</w:t>
      </w:r>
    </w:p>
    <w:p>
      <w:pPr>
        <w:spacing w:after="160" w:line="320"/>
        <w:jc w:val="both"/>
      </w:pPr>
      <w:r>
        <w:t xml:space="preserve">Nach dieser Entscheidung wurden die UPNs der On-Premises-Benutzer auf das Suffix </w:t>
      </w:r>
      <w:r>
        <w:rPr>
          <w:i/>
          <w:iCs/>
        </w:rPr>
        <w:t xml:space="preserve">gokhanzehirliogluhotmail.onmicrosoft.com</w:t>
      </w:r>
      <w:r>
        <w:t xml:space="preserve"> aktualisiert (siehe Teil 1, Abschnitt 1.8).</w:t>
      </w:r>
    </w:p>
    <w:p>
      <w:pPr>
        <w:pStyle w:val="Heading1"/>
        <w:spacing w:after="200" w:before="360"/>
      </w:pPr>
      <w:r>
        <w:t xml:space="preserve">3.3  Entra ID P2 — Trial und Lizenzierung</w:t>
      </w:r>
    </w:p>
    <w:p>
      <w:pPr>
        <w:spacing w:after="160" w:line="320"/>
        <w:jc w:val="both"/>
      </w:pPr>
      <w:r>
        <w:t xml:space="preserve">Im Cloud-Sync-Konfigurationsdialog wurde sichtbar, dass für die Synchronisation eine </w:t>
      </w:r>
      <w:r>
        <w:rPr>
          <w:b/>
          <w:bCs/>
        </w:rPr>
        <w:t xml:space="preserve">Microsoft Entra ID P1/P2 Lizenz</w:t>
      </w:r>
      <w:r>
        <w:t xml:space="preserve"> erforderlich ist. Unter den kostenlosen Testoptionen wurde die für dieses Szenario passendste Variante gewählt: </w:t>
      </w:r>
      <w:r>
        <w:rPr>
          <w:b/>
          <w:bCs/>
        </w:rPr>
        <w:t xml:space="preserve">Microsoft Entra ID P2</w:t>
      </w:r>
      <w:r>
        <w:t xml:space="preserve">.</w:t>
      </w:r>
    </w:p>
    <w:p>
      <w:pPr>
        <w:spacing w:after="160" w:line="320"/>
        <w:jc w:val="both"/>
      </w:pPr>
      <w:r>
        <w:t xml:space="preserve">Der Trial bot folgende Konditionen: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100 Lizenzen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30 Tage kostenlos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Microsoft Entra ID P2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2381250"/>
            <wp:effectExtent t="0" r="0" b="0" l="0"/>
            <wp:docPr id="1" name="Entra_admin_Center_P2_lizenz.png" descr="Microsoft Entra Admin Center — Lizenzen | Lizenznutzung. Im Tenant aktiv: 100 Lizenzen Entra ID P1 und 100 Lizenzen ID-Schutz (Entra ID P2). Weitere Lizenzfamilien (ID Governance, Privater Zugriff, Internetzugriff) sind auf 0 — also nicht aktiviert. Damit ist die für Cloud Sync benötigte P2-Lizenzierung sichergestellt." title="Microsoft Entra Admin Center — Lizenzen | Lizenznutzung. Im Tenant aktiv: 100 Lizenzen Entra ID P1 und 100 Lizenzen ID-Schutz (Entra ID P2). Weitere Lizenzfamilien (ID Governance, Privater Zugriff, Internetzugriff) sind auf 0 — also nicht aktiviert. Damit ist die für Cloud Sync benötigte P2-Lizenzierung sichergestel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Abbildung: Microsoft Entra Admin Center — Lizenzen | Lizenznutzung. Im Tenant aktiv: 100 Lizenzen Entra ID P1 und 100 Lizenzen ID-Schutz (Entra ID P2). Weitere Lizenzfamilien (ID Governance, Privater Zugriff, Internetzugriff) sind auf 0 — also nicht aktiviert. Damit ist die für Cloud Sync benötigte P2-Lizenzierung sichergestellt.</w:t>
      </w:r>
    </w:p>
    <w:p>
      <w:pPr>
        <w:spacing w:after="160" w:line="320"/>
        <w:jc w:val="both"/>
      </w:pPr>
      <w:r>
        <w:t xml:space="preserve">Kartendaten wurden hinterlegt. Es wurde eine 0-€-Transaktion sowie eine Karten­verifizierungsbuchung in Höhe von 1 € durchgeführt. In dieser Phase wurde das Risiko bewertet: nach Ablauf des Trials wäre eine automatische Umwandlung in eine kostenpflichtige Lizenz möglich. Es wurde deshalb festgehalten, dass der Trial nach Projektabschluss aktiv beendet werden muss.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9700" w:sz="4"/>
              <w:left w:val="single" w:color="DA9700" w:sz="24"/>
              <w:bottom w:val="single" w:color="DA9700" w:sz="4"/>
              <w:right w:val="single" w:color="DA9700" w:sz="4"/>
            </w:tcBorders>
            <w:shd w:fill="FFF4C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Wichtig: Trial nach Projektabschluss beenden</w:t>
            </w:r>
          </w:p>
          <w:p>
            <w:pPr>
              <w:jc w:val="both"/>
            </w:pPr>
            <w:r>
              <w:rPr>
                <w:sz w:val="22"/>
                <w:szCs w:val="22"/>
              </w:rPr>
              <w:t xml:space="preserve">Der 30-Tage-Trial von Microsoft Entra ID P2 kann sich automatisch in eine kostenpflichtige Lizenz umwandeln, wenn er nicht aktiv gekündigt wird. Diese Aufgabe ist im Projektabschluss als feste Maßnahme zu verankern.</w:t>
            </w:r>
          </w:p>
        </w:tc>
      </w:tr>
    </w:tbl>
    <w:p>
      <w:pPr>
        <w:pStyle w:val="Heading1"/>
        <w:spacing w:after="200" w:before="360"/>
      </w:pPr>
      <w:r>
        <w:t xml:space="preserve">3.4  Cloud-only Global Admin und MFA</w:t>
      </w:r>
    </w:p>
    <w:p>
      <w:pPr>
        <w:spacing w:after="160" w:line="320"/>
        <w:jc w:val="both"/>
      </w:pPr>
      <w:r>
        <w:t xml:space="preserve">Während des Agent-Setups wurde versucht, sich mit dem persönlichen Hotmail-Konto am Microsoft-Login anzumelden. Dabei wurde das Konto in einen falschen Tenant-Kontext gelenkt — sichtbar an der Weiterleitung in den Tenant </w:t>
      </w:r>
      <w:r>
        <w:rPr>
          <w:i/>
          <w:iCs/>
        </w:rPr>
        <w:t xml:space="preserve">Jarvamaa Kutsehariduskeskus</w:t>
      </w:r>
      <w:r>
        <w:t xml:space="preserve"> mit der Fehlermeldung </w:t>
      </w:r>
      <w:r>
        <w:rPr>
          <w:rFonts w:ascii="Consolas" w:cs="Consolas" w:eastAsia="Consolas" w:hAnsi="Consolas"/>
        </w:rPr>
        <w:t xml:space="preserve">AADSTS50020</w:t>
      </w:r>
      <w:r>
        <w:t xml:space="preserve">.</w:t>
      </w:r>
    </w:p>
    <w:p>
      <w:pPr>
        <w:spacing w:after="160" w:line="320"/>
        <w:jc w:val="both"/>
      </w:pPr>
      <w:r>
        <w:t xml:space="preserve">Aus diesem Grund wurde innerhalb des Tenants ein cloud-only Admin-Konto angelegt — ausschließlich für dieses Projekt: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0E639C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admin@gokhanzehirliogluhotmail.onmicrosoft.com</w:t>
            </w:r>
          </w:p>
        </w:tc>
      </w:tr>
    </w:tbl>
    <w:p>
      <w:pPr>
        <w:spacing w:after="160" w:line="320"/>
        <w:jc w:val="both"/>
      </w:pPr>
      <w:r>
        <w:t xml:space="preserve">Diesem Konto wurde die Rolle </w:t>
      </w:r>
      <w:r>
        <w:rPr>
          <w:b/>
          <w:bCs/>
        </w:rPr>
        <w:t xml:space="preserve">Globaler Administrator</w:t>
      </w:r>
      <w:r>
        <w:t xml:space="preserve"> zugewiesen. Aufgrund der aktiven </w:t>
      </w:r>
      <w:r>
        <w:rPr>
          <w:b/>
          <w:bCs/>
        </w:rPr>
        <w:t xml:space="preserve">Security Defaults</w:t>
      </w:r>
      <w:r>
        <w:t xml:space="preserve"> wurde MFA verpflichtend. Der Microsoft Authenticator wurde auf dem Telefon installiert, das Konto eingebunden und die MFA-Aktivierung über Number Matching abgeschlossen.</w:t>
      </w:r>
    </w:p>
    <w:p>
      <w:pPr>
        <w:spacing w:after="160" w:line="320"/>
        <w:jc w:val="both"/>
      </w:pPr>
      <w:r>
        <w:t xml:space="preserve">Damit konnte die Cloud-Verwaltung anschließend nicht mehr über die persönliche Hotmail-Sitzung, sondern über das tenant-eigene Admin-Konto durchgeführt werden. Das ist eine wichtige Trennung: Tenant-Operationen laufen ausschließlich über das speziell dafür eingerichtete Konto.</w:t>
      </w:r>
    </w:p>
    <w:p>
      <w:pPr>
        <w:pStyle w:val="Heading1"/>
        <w:spacing w:after="200" w:before="360"/>
      </w:pPr>
      <w:r>
        <w:t xml:space="preserve">3.5  DC02 — Multi-NIC und Internetzugriff</w:t>
      </w:r>
    </w:p>
    <w:p>
      <w:pPr>
        <w:spacing w:after="160" w:line="320"/>
        <w:jc w:val="both"/>
      </w:pPr>
      <w:r>
        <w:t xml:space="preserve">Damit der Microsoft Entra Provisioning Agent die Microsoft-Cloud-Endpoints erreichen kann, wurde </w:t>
      </w:r>
      <w:r>
        <w:rPr>
          <w:b/>
          <w:bCs/>
        </w:rPr>
        <w:t xml:space="preserve">DC02 mit einer zweiten NIC</w:t>
      </w:r>
      <w:r>
        <w:t xml:space="preserve"> ausgestattet. Diese NIC dient als Internetausgang.</w:t>
      </w:r>
    </w:p>
    <w:p>
      <w:pPr>
        <w:pStyle w:val="Heading2"/>
        <w:spacing w:after="160" w:before="320"/>
      </w:pPr>
      <w:r>
        <w:t xml:space="preserve">Logik der NIC-Konfiguration auf DC02</w:t>
      </w:r>
    </w:p>
    <w:p>
      <w:pPr>
        <w:spacing w:after="160" w:line="320"/>
        <w:jc w:val="both"/>
      </w:pPr>
      <w:r>
        <w:t xml:space="preserve">Internal NIC (für Domain-Kommunikation):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0E639C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IP:           10.10.1.2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DNS:          10.10.1.2 / 10.10.1.1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Register DNS: True</w:t>
            </w:r>
          </w:p>
        </w:tc>
      </w:tr>
    </w:tbl>
    <w:p>
      <w:pPr>
        <w:spacing w:after="160" w:line="320"/>
        <w:jc w:val="both"/>
      </w:pPr>
      <w:r>
        <w:t xml:space="preserve">Ethernet / Internet NIC (für Cloud-Endpoint-Erreichbarkeit):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0E639C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IP:           10.100.15.60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Gateway:      10.100.15.254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DNS:          10.100.0.1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Register DNS: False</w:t>
            </w:r>
          </w:p>
        </w:tc>
      </w:tr>
    </w:tbl>
    <w:p>
      <w:pPr>
        <w:pStyle w:val="Heading2"/>
        <w:spacing w:after="160" w:before="320"/>
      </w:pPr>
      <w:r>
        <w:t xml:space="preserve">Aufgetretener Multi-Homed-DC-Effekt</w:t>
      </w:r>
    </w:p>
    <w:p>
      <w:pPr>
        <w:spacing w:after="160" w:line="320"/>
        <w:jc w:val="both"/>
      </w:pPr>
      <w:r>
        <w:t xml:space="preserve">Während dieser Konfiguration wurde sichtbar, dass </w:t>
      </w:r>
      <w:r>
        <w:rPr>
          <w:b/>
          <w:bCs/>
        </w:rPr>
        <w:t xml:space="preserve">DC02 die externe IP in das interne DNS registriert</w:t>
      </w:r>
      <w:r>
        <w:t xml:space="preserve"> hat. Das war fehlerhaft, denn </w:t>
      </w:r>
      <w:r>
        <w:rPr>
          <w:i/>
          <w:iCs/>
        </w:rPr>
        <w:t xml:space="preserve">DC02_Mannheim.rns.local</w:t>
      </w:r>
      <w:r>
        <w:t xml:space="preserve"> darf ausschließlich auf die interne IP </w:t>
      </w:r>
      <w:r>
        <w:rPr>
          <w:i/>
          <w:iCs/>
        </w:rPr>
        <w:t xml:space="preserve">10.10.1.2</w:t>
      </w:r>
      <w:r>
        <w:t xml:space="preserve"> aufgelöst werden. Aus diesem Grund wurde auf der externen NIC die DNS-Registrierung deaktiviert und die fehlerhaften A-Records mit IP </w:t>
      </w:r>
      <w:r>
        <w:rPr>
          <w:i/>
          <w:iCs/>
        </w:rPr>
        <w:t xml:space="preserve">10.100.15.60</w:t>
      </w:r>
      <w:r>
        <w:t xml:space="preserve"> aus der DNS-Zone bereinigt.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2371725"/>
            <wp:effectExtent t="0" r="0" b="0" l="0"/>
            <wp:docPr id="1" name="Dns_Manger_rns_local_.png" descr="DNS-Manager — rns.local-Zone nach der Bereinigung. Sichtbar sind ausschließlich die zulässigen Host-(A)-Datensätze: dc01_mannheim 10.10.1.1, DC02_Mannheim 10.10.1.2, dc03_stuttgart 10.10.1.3, SERVER01 10.10.1.254 sowie die Client-Datensätze (Mannheim-Client 10.10.1.150, Stuttgart-Client 10.10.2.51, Muenchen-Client 10.10.3.51). Der zusätzliche DC02_Mannheim 10.100.15.60 (externe NIC) wurde später entfernt — er hätte sonst Domain-Traffic auf das falsche Interface gelenkt." title="DNS-Manager — rns.local-Zone nach der Bereinigung. Sichtbar sind ausschließlich die zulässigen Host-(A)-Datensätze: dc01_mannheim 10.10.1.1, DC02_Mannheim 10.10.1.2, dc03_stuttgart 10.10.1.3, SERVER01 10.10.1.254 sowie die Client-Datensätze (Mannheim-Client 10.10.1.150, Stuttgart-Client 10.10.2.51, Muenchen-Client 10.10.3.51). Der zusätzliche DC02_Mannheim 10.100.15.60 (externe NIC) wurde später entfernt — er hätte sonst Domain-Traffic auf das falsche Interface gelen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Abbildung: DNS-Manager — rns.local-Zone nach der Bereinigung. Sichtbar sind ausschließlich die zulässigen Host-(A)-Datensätze: dc01_mannheim 10.10.1.1, DC02_Mannheim 10.10.1.2, dc03_stuttgart 10.10.1.3, SERVER01 10.10.1.254 sowie die Client-Datensätze (Mannheim-Client 10.10.1.150, Stuttgart-Client 10.10.2.51, Muenchen-Client 10.10.3.51). Der zusätzliche DC02_Mannheim 10.100.15.60 (externe NIC) wurde später entfernt — er hätte sonst Domain-Traffic auf das falsche Interface gelenkt.</w:t>
      </w:r>
    </w:p>
    <w:p>
      <w:pPr>
        <w:spacing w:after="160" w:line="320"/>
        <w:jc w:val="both"/>
      </w:pPr>
      <w:r>
        <w:t xml:space="preserve">Diese Korrektur ist ein praxisnahes Beispiel des Multi-Homed-DC-Problems. Sobald ein Domain Controller mehrere NICs besitzt, müssen DNS-Registrierung, Route-Metric und Default Gateway sorgfältig verwaltet werden — sonst löst der DC-Hostname auf eine NIC auf, über die der Domain-Traffic gar nicht laufen sollte.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39C" w:sz="4"/>
              <w:left w:val="single" w:color="0E639C" w:sz="24"/>
              <w:bottom w:val="single" w:color="0E639C" w:sz="4"/>
              <w:right w:val="single" w:color="0E639C" w:sz="4"/>
            </w:tcBorders>
            <w:shd w:fill="E8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Multi-NIC auf Domain Controllern — Regelwerk</w:t>
            </w:r>
          </w:p>
          <w:p>
            <w:pPr>
              <w:jc w:val="both"/>
            </w:pPr>
            <w:r>
              <w:rPr>
                <w:sz w:val="22"/>
                <w:szCs w:val="22"/>
              </w:rPr>
              <w:t xml:space="preserve">Auf jedem Adapter außer der internen NIC muss „Register this connection's addresses in DNS“ deaktiviert sein. Die Route-Metric sollte so gewählt sein, dass Domain-Verkehr bevorzugt über die interne NIC läuft. Falsche A-Records sind sofort aus der DNS-Zone zu entfernen.</w:t>
            </w:r>
          </w:p>
        </w:tc>
      </w:tr>
    </w:tbl>
    <w:p>
      <w:pPr>
        <w:pStyle w:val="Heading1"/>
        <w:spacing w:after="200" w:before="360"/>
      </w:pPr>
      <w:r>
        <w:t xml:space="preserve">3.6  Microsoft Entra Provisioning Agent — Installation und gMSA</w:t>
      </w:r>
    </w:p>
    <w:p>
      <w:pPr>
        <w:spacing w:after="160" w:line="320"/>
        <w:jc w:val="both"/>
      </w:pPr>
      <w:r>
        <w:t xml:space="preserve">Der </w:t>
      </w:r>
      <w:r>
        <w:rPr>
          <w:b/>
          <w:bCs/>
        </w:rPr>
        <w:t xml:space="preserve">Microsoft Entra Provisioning Agent</w:t>
      </w:r>
      <w:r>
        <w:t xml:space="preserve"> wurde auf DC02 installiert. DC02 wurde bewusst gewählt: DC01 trägt die zentralen Rollen wie CA-Funktion und Hauptverwaltung, während DC02 als zweiter DC für hybride Agent-Komponenten besser geeignet ist.</w:t>
      </w:r>
    </w:p>
    <w:p>
      <w:pPr>
        <w:pStyle w:val="Heading2"/>
        <w:spacing w:after="160" w:before="320"/>
      </w:pPr>
      <w:r>
        <w:t xml:space="preserve">Setup-Wizard und gMSA-Erzeugung</w:t>
      </w:r>
    </w:p>
    <w:p>
      <w:pPr>
        <w:spacing w:after="160" w:line="320"/>
        <w:jc w:val="both"/>
      </w:pPr>
      <w:r>
        <w:t xml:space="preserve">Im Setup-Wizard wurde die Option </w:t>
      </w:r>
      <w:r>
        <w:rPr>
          <w:b/>
          <w:bCs/>
        </w:rPr>
        <w:t xml:space="preserve">Create gMSA</w:t>
      </w:r>
      <w:r>
        <w:t xml:space="preserve"> ausgewählt. Damit wird das Servicekonto nicht über ein manuell vergebenes Passwort, sondern als </w:t>
      </w:r>
      <w:r>
        <w:rPr>
          <w:b/>
          <w:bCs/>
        </w:rPr>
        <w:t xml:space="preserve">Group Managed Service Account</w:t>
      </w:r>
      <w:r>
        <w:t xml:space="preserve"> verwaltet.</w:t>
      </w:r>
    </w:p>
    <w:p>
      <w:pPr>
        <w:spacing w:after="160" w:line="320"/>
        <w:jc w:val="both"/>
      </w:pPr>
      <w:r>
        <w:t xml:space="preserve">Im Wizard wurden die On-Premises-AD-Informationen angegeben: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0E639C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Domain:    rns.local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Username:  RNS\Administrator</w:t>
            </w:r>
          </w:p>
        </w:tc>
      </w:tr>
    </w:tbl>
    <w:p>
      <w:pPr>
        <w:spacing w:after="160" w:line="320"/>
        <w:jc w:val="both"/>
      </w:pPr>
      <w:r>
        <w:t xml:space="preserve">Anschließend wurde durch den Wizard das gMSA-Konto erzeugt: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0E639C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pGMSA_784aba0b$</w:t>
            </w:r>
          </w:p>
        </w:tc>
      </w:tr>
    </w:tbl>
    <w:p>
      <w:pPr>
        <w:spacing w:after="80" w:before="200"/>
        <w:jc w:val="center"/>
      </w:pPr>
      <w:r>
        <w:drawing>
          <wp:inline distT="0" distB="0" distL="0" distR="0">
            <wp:extent cx="5524500" cy="1562100"/>
            <wp:effectExtent t="0" r="0" b="0" l="0"/>
            <wp:docPr id="1" name="provAgentgMSAAzure_AD_cloud_sync_service_account.png" descr="Active-Directory-Benutzer und -Computer — Container „Managed Service Accounts“. Das vom Provisioning-Agent-Wizard erzeugte Konto provAgentgMSA (msDS-GroupManagedServiceAccount) trägt die Beschreibung „Azure AD cloud sync service account“ und dient als Servicekonto für den Agent auf DC02." title="Active-Directory-Benutzer und -Computer — Container „Managed Service Accounts“. Das vom Provisioning-Agent-Wizard erzeugte Konto provAgentgMSA (msDS-GroupManagedServiceAccount) trägt die Beschreibung „Azure AD cloud sync service account“ und dient als Servicekonto für den Agent auf DC0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Abbildung: Active-Directory-Benutzer und -Computer — Container „Managed Service Accounts“. Das vom Provisioning-Agent-Wizard erzeugte Konto provAgentgMSA (msDS-GroupManagedServiceAccount) trägt die Beschreibung „Azure AD cloud sync service account“ und dient als Servicekonto für den Agent auf DC02.</w:t>
      </w:r>
    </w:p>
    <w:p>
      <w:pPr>
        <w:pStyle w:val="Heading2"/>
        <w:spacing w:after="160" w:before="320"/>
      </w:pPr>
      <w:r>
        <w:t xml:space="preserve">Validierung des gMSA</w:t>
      </w:r>
    </w:p>
    <w:p>
      <w:pPr>
        <w:spacing w:after="160" w:line="320"/>
        <w:jc w:val="both"/>
      </w:pPr>
      <w:r>
        <w:t xml:space="preserve">Die Funktionsfähigkeit des gMSA wurde mit folgendem Befehl überprüft: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0E639C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Test-ADServiceAccount pGMSA_784aba0b</w:t>
            </w:r>
          </w:p>
        </w:tc>
      </w:tr>
    </w:tbl>
    <w:p>
      <w:pPr>
        <w:spacing w:after="160" w:line="320"/>
        <w:jc w:val="both"/>
      </w:pPr>
      <w:r>
        <w:t xml:space="preserve">Ergebnis: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0E639C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160" w:line="320"/>
        <w:jc w:val="both"/>
      </w:pPr>
      <w:r>
        <w:t xml:space="preserve">Damit war bestätigt, dass das gMSA-Konto funktioniert und vom Agent als Servicekonto verwendet werden kann.</w:t>
      </w:r>
    </w:p>
    <w:p>
      <w:pPr>
        <w:pStyle w:val="Heading2"/>
        <w:spacing w:after="160" w:before="320"/>
      </w:pPr>
      <w:r>
        <w:t xml:space="preserve">Aktivierungsstatus im Entra-Portal</w:t>
      </w:r>
    </w:p>
    <w:p>
      <w:pPr>
        <w:spacing w:after="160" w:line="320"/>
        <w:jc w:val="both"/>
      </w:pPr>
      <w:r>
        <w:t xml:space="preserve">Nach Abschluss der Agent-Installation wurde im Entra-Portal die Aktivität des Agents sichtbar: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0E639C" w:sz="12"/>
              <w:bottom w:val="single" w:color="D0D0D0" w:sz="4"/>
              <w:right w:val="single" w:color="D0D0D0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Computername:  DC02_Mannheim.rns.local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Status:        aktiv</w:t>
            </w:r>
          </w:p>
        </w:tc>
      </w:tr>
    </w:tbl>
    <w:p>
      <w:pPr>
        <w:spacing w:after="160" w:line="320"/>
        <w:jc w:val="both"/>
      </w:pPr>
      <w:r>
        <w:t xml:space="preserve">Damit war die Agent-Registrierung erfolgreich abgeschlossen — DC02 war im Entra-Tenant erreichbar und konnte für die Cloud-Sync-Konfiguration eingesetzt werden. Diese Konfigurations- und Validierungsschritte sind Gegenstand von Teil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39C" w:sz="4"/>
              <w:left w:val="single" w:color="0E639C" w:sz="24"/>
              <w:bottom w:val="single" w:color="0E639C" w:sz="4"/>
              <w:right w:val="single" w:color="0E639C" w:sz="4"/>
            </w:tcBorders>
            <w:shd w:fill="E8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Warum gMSA wichtig ist</w:t>
            </w:r>
          </w:p>
          <w:p>
            <w:pPr>
              <w:jc w:val="both"/>
            </w:pPr>
            <w:r>
              <w:rPr>
                <w:sz w:val="22"/>
                <w:szCs w:val="22"/>
              </w:rPr>
              <w:t xml:space="preserve">Group Managed Service Accounts werden zentral von Active Directory verwaltet — Passwörter werden automatisch und periodisch geändert und nirgendwo manuell hinterlegt. Für hybride Agents, die langlebige Service-Identitäten benötigen, ist gMSA die sichere Standardlösung gegenüber statischen Service-Konten mit langlebigem Passwort.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Teil 3 — Zusammenfassung und Erkenntnisse</w:t>
      </w:r>
    </w:p>
    <w:p>
      <w:pPr>
        <w:spacing w:after="160" w:line="320"/>
        <w:jc w:val="both"/>
      </w:pPr>
      <w:r>
        <w:t xml:space="preserve">Stand am Ende von Teil 3 — die abgeschlossenen Hybrid-Cloud-Vorbereitungen: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E639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E639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0E639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Hyper-V-Checkpoints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Erstellt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Pre-Entra-CloudSync-Checkpoint-2026-05-06 (alle kritischen VMs)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Entra-Tenant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Vorbereitet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 Directory, gokhanzehirliogluhotmail.onmicrosoft.com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✗ Verworfen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rns-cloud.de — nicht verifizierbar, deshalb onmicrosoft.com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Entra ID P2 Trial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Aktiviert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Lizenzen, 30 Tage — nach Projektabschluss zu kündigen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Cloud-only Admin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Angelegt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admin@gokhanzehirliogluhotmail.onmicrosoft.com + MFA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DC02 Multi-NIC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Konfiguriert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10.10.1.2 + External 10.100.15.60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DNS-Bereinigung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Erledigt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Fehlerhafter externer A-Record entfernt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Provisioning Agent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Installiert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DC02_Mannheim.rns.local — Status: aktiv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gMSA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Validiert</w:t>
            </w:r>
          </w:p>
        </w:tc>
        <w:tc>
          <w:tcPr>
            <w:tcW w:type="dxa" w:w="47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pGMSA_784aba0b — Test-ADServiceAccount → True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t xml:space="preserve">Wesentliche Erkenntnisse aus Teil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Kontrollierte Rückkehrpunkte (Checkpoints) machen riskante Hybrid-Übergänge praktikabel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Entra erfordert verifizierte Public Domains — Labordomains werden über den Default onmicrosoft.com-Suffix abgebildet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Persönliche Microsoft-Konten und Tenant-Verwaltung müssen strikt getrennt werden — cloud-only Admin-Konto ist Pflicht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Multi-NIC-DCs erfordern bewusste DNS- und Routing-Disziplin, sonst entstehen falsche A-Records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gMSA ist die sichere Identitätswahl für langlebige hybride Servicekomponenten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Eine erfolgreiche Agent-Registrierung ist Voraussetzung — aber noch keine Bestätigung funktionierender Provisioning-Runtime (siehe Teil 4)</w:t>
      </w:r>
    </w:p>
    <w:p>
      <w:pPr>
        <w:spacing w:after="160" w:line="320"/>
        <w:jc w:val="both"/>
      </w:pPr>
      <w:r>
        <w:t xml:space="preserve">Mit abgeschlossener Tenant-Vorbereitung, aktivem Agent und validiertem gMSA ist das hybride Fundament gelegt. In Teil 4 wird auf dieser Basis die Cloud-Sync-Konfiguration erstellt, der Scope auf die Benutzer-OUs eingegrenzt und die erste Provisioning-Validierung durchgeführt.</w:t>
      </w:r>
    </w:p>
    <w:p>
      <w:pPr>
        <w:spacing w:before="480"/>
        <w:jc w:val="center"/>
      </w:pPr>
      <w:r>
        <w:rPr>
          <w:i/>
          <w:iCs/>
          <w:color w:val="0E639C"/>
          <w:sz w:val="24"/>
          <w:szCs w:val="24"/>
        </w:rPr>
        <w:t xml:space="preserve">▶  Nächster Teil: Teil 4 — Cloud-Sync-Konfiguration und initiale Validierung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von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Enterprise Hybrid Cloud Security Architecture  |  Teil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E639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299a06efb13956b93833cffc7af471261f277b3.png"/><Relationship Id="rId10" Type="http://schemas.openxmlformats.org/officeDocument/2006/relationships/image" Target="media/94a3492abae3d7634e14cc1a6ef2992b001da7dc.png"/><Relationship Id="rId11" Type="http://schemas.openxmlformats.org/officeDocument/2006/relationships/image" Target="media/84850cc245e08f13020de706535005f6b709ebba.png"/><Relationship Id="rId12" Type="http://schemas.openxmlformats.org/officeDocument/2006/relationships/image" Target="media/84090083e3b474c334c42236830125e3772247e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Teil 3 — Hybrid Cloud Readiness</dc:title>
  <dc:creator>Rhein-Neckar-Solution GmbH — Projektdokumentation</dc:creator>
  <dc:description>Enterprise Hybrid Cloud Security Architecture — Teil 3</dc:description>
  <cp:lastModifiedBy>Un-named</cp:lastModifiedBy>
  <cp:revision>1</cp:revision>
  <dcterms:created xsi:type="dcterms:W3CDTF">2026-05-11T18:42:06.772Z</dcterms:created>
  <dcterms:modified xsi:type="dcterms:W3CDTF">2026-05-11T18:42:06.773Z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