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8c83"/>
          <w:sz w:val="16"/>
          <w:szCs w:val="16"/>
          <w:rtl w:val="0"/>
        </w:rPr>
        <w:t xml:space="preserve">IDEATION PHASE  /  PROJECT 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color w:val="5e6c78"/>
          <w:sz w:val="18"/>
          <w:szCs w:val="18"/>
          <w:rtl w:val="0"/>
        </w:rPr>
        <w:t xml:space="preserve">Project Title: Auto Ticket Classification Using Flow Designer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440"/>
        <w:gridCol w:w="4752"/>
        <w:gridCol w:w="1656"/>
        <w:gridCol w:w="2232"/>
        <w:tblGridChange w:id="0">
          <w:tblGrid>
            <w:gridCol w:w="1440"/>
            <w:gridCol w:w="4752"/>
            <w:gridCol w:w="1656"/>
            <w:gridCol w:w="2232"/>
          </w:tblGrid>
        </w:tblGridChange>
      </w:tblGrid>
      <w:tr>
        <w:trPr>
          <w:cantSplit w:val="0"/>
          <w:tblHeader w:val="1"/>
        </w:trPr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6abab5f0ad6b12298106a12a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Purpose.</w:t>
      </w:r>
      <w:r w:rsidDel="00000000" w:rsidR="00000000" w:rsidRPr="00000000">
        <w:rPr>
          <w:rtl w:val="0"/>
        </w:rPr>
        <w:t xml:space="preserve"> Use this worksheet to define the service-desk problem, generate solution options, and rank a practical first release. The original template’s three-step brainstorming structure is retained.</w:t>
      </w:r>
    </w:p>
    <w:tbl>
      <w:tblPr>
        <w:tblStyle w:val="Table2"/>
        <w:tblW w:w="10224.0" w:type="dxa"/>
        <w:jc w:val="left"/>
        <w:tblInd w:w="-115.0" w:type="dxa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8f5f3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7"/>
                <w:szCs w:val="17"/>
                <w:rtl w:val="0"/>
              </w:rPr>
              <w:t xml:space="preserve">Working assumption</w:t>
              <w:br w:type="textWrapping"/>
              <w:t xml:space="preserve">“Flow Designer” refers to ServiceNow Flow Designer. The proposed approach uses available ticket fields, configurable rules, and optional prediction/classification capabilities where licensed and supported. Confirm the platform edition, data access, and governance requirements during discovery.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Step 1: Team Gathering, Collaboration and Select the Problem Statement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Bring service-desk agents, platform administrators, process owners, and reporting stakeholders together. Agree on the ticket types and outcomes in scope before choosing automation rules.</w:t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2232"/>
        <w:gridCol w:w="7848"/>
        <w:tblGridChange w:id="0">
          <w:tblGrid>
            <w:gridCol w:w="2232"/>
            <w:gridCol w:w="7848"/>
          </w:tblGrid>
        </w:tblGridChange>
      </w:tblGrid>
      <w:tr>
        <w:trPr>
          <w:cantSplit w:val="0"/>
          <w:tblHeader w:val="1"/>
        </w:trPr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Working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Who experiences the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Service-desk agents and requesters; support teams receiving misrouted incidents or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What is happening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Incoming tickets are manually reviewed and categorized. Classification varies by agent, queues build up, and tickets may be reassigned before reaching the right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Why does it matter?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Manual triage adds handling time, delays first response and resolution, and reduces consistency in routing and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How might we classify and route new service tickets consistently and quickly using Flow Designer, while keeping agents in control when confidence or data quality is low?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Desired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Reduce time spent on routine triage, improve category and assignment accuracy, and preserve a clear audit trail and simple human override.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Scope for discovery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 scope: new tickets from agreed channels, a defined set of high-volume categories, category/subcategory suggestions, assignment group routing, exception handling, and performance measurement. Out of scope for the first iteration: automatic closure, high-impact priority changes without review, and unsupported ticket types.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Baseline measures to collect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Capture current median time to classify, percentage routed to the correct group on first assignment, reassignment rate, category completeness, and ticket volume by type. Set targets after establishing the baseline.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8c83"/>
          <w:sz w:val="16"/>
          <w:szCs w:val="16"/>
          <w:rtl w:val="0"/>
        </w:rPr>
        <w:t xml:space="preserve">IDEATION PHASE  /  GENERATE AND 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r w:rsidDel="00000000" w:rsidR="00000000" w:rsidRPr="00000000">
        <w:rPr>
          <w:rtl w:val="0"/>
        </w:rPr>
        <w:t xml:space="preserve">From options to a first release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List broadly first, then rank ideas against customer value, feasibility, and operational risk.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Step 2: Brainstorm, Idea Listing and Grouping</w:t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728"/>
        <w:gridCol w:w="3960"/>
        <w:gridCol w:w="4392"/>
        <w:tblGridChange w:id="0">
          <w:tblGrid>
            <w:gridCol w:w="1728"/>
            <w:gridCol w:w="3960"/>
            <w:gridCol w:w="4392"/>
          </w:tblGrid>
        </w:tblGridChange>
      </w:tblGrid>
      <w:tr>
        <w:trPr>
          <w:cantSplit w:val="0"/>
          <w:tblHeader w:val="1"/>
        </w:trPr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Benefit / 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Data &amp;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Standardize category, short description, description, service, and requester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Improves consistency; begin with fields already captured and permitted for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Use Flow Designer conditions for clear, deterministic mappings (for example, service or request type to assignment group).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Fast, explainable baseline; maintain a controlled rule set and a safe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Evaluate a supported classification model or text prediction capability using reviewed historical tickets.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Can handle varied wording; requires sufficient representative data, validation, and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Flow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Trigger on ticket creation or relevant updates, check required fields, classify, set permitted fields, and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Automates repeatable steps; avoid loops, duplicate actions, and overwriting agent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Human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Send low-confidence or ambiguous cases to a triage queue with suggested category and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Keeps uncertain cases safe; define confidence thresholds with measured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Feedback &amp;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Capture agent corrections and review them periodically to improve mappings or retrain an approved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Creates a learning loop; corrections need quality checks and change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Track first-assignment accuracy, override rate, fallback volume, processing failures, and time-to-route.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Shows value and drift; dashboard definitions should be agreed before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Idea clusters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Reliable foundations: clean inputs, explicit mappings, fallback queue. Assisted intelligence: optional prediction with confidence-based review. Operational control: audit logs, agent override, monitoring, and governed updates.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Step 3: Idea Prioritization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Scores use a simple 1–5 scale (5 = strongest). Feasibility means ease of delivery; risk score means safety/operational risk (5 = lowest risk). Validate estimates with the platform team before committing.</w:t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3096"/>
        <w:gridCol w:w="749"/>
        <w:gridCol w:w="1195"/>
        <w:gridCol w:w="691"/>
        <w:gridCol w:w="936"/>
        <w:gridCol w:w="3413"/>
        <w:tblGridChange w:id="0">
          <w:tblGrid>
            <w:gridCol w:w="3096"/>
            <w:gridCol w:w="749"/>
            <w:gridCol w:w="1195"/>
            <w:gridCol w:w="691"/>
            <w:gridCol w:w="936"/>
            <w:gridCol w:w="3413"/>
          </w:tblGrid>
        </w:tblGridChange>
      </w:tblGrid>
      <w:tr>
        <w:trPr>
          <w:cantSplit w:val="0"/>
          <w:tblHeader w:val="1"/>
        </w:trPr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24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Normalize inputs + baseline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Start: establish clean data and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Deterministic rules in 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Start: automate clear, low-risk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Fallback queue + agent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Start: required safety and exception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Prediction-based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Pilot after data and capability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Feedback and monitoring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447"/>
                <w:sz w:val="15"/>
                <w:szCs w:val="15"/>
                <w:rtl w:val="0"/>
              </w:rPr>
              <w:t xml:space="preserve">Include measurement; refine after pilot.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Recommended first release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Begin with a measured pilot: normalize the agreed input fields; apply transparent Flow Designer rules to a small set of high-volume ticket types; route uncertain or unmatched cases to human triage; and log the classification, rule/model version, and any agent override. Evaluate prediction as a later controlled enhancement if platform support and representative labeled data are confirmed.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Pilot success checks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Compare against the baseline: first-assignment accuracy, median time to route, reassignment rate, agent override rate, fallback volume, and flow failures. Review results by category and channel. Agree target thresholds before enabling broader automation.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Risks and controls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Incorrect routing: use a fallback queue and agent override. Biased or stale examples: review training data and monitor results by category. Unexpected field changes: restrict writes to approved fields and protect manual decisions. Flow errors or duplicates: test trigger conditions, idempotency, and error handling in a non-production environment before release.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Team decision:</w:t>
      </w:r>
      <w:r w:rsidDel="00000000" w:rsidR="00000000" w:rsidRPr="00000000">
        <w:rPr>
          <w:rtl w:val="0"/>
        </w:rPr>
        <w:t xml:space="preserve"> Approve discovery and a rules-based pilot; confirm scope, baseline, platform capabilities, field ownership, review threshold, and go-live criteria with stakeholders.</w:t>
      </w:r>
    </w:p>
    <w:sectPr>
      <w:footerReference r:id="rId6" w:type="default"/>
      <w:pgSz w:h="15840" w:w="12240" w:orient="portrait"/>
      <w:pgMar w:bottom="893" w:top="893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344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e6c78"/>
        <w:sz w:val="14"/>
        <w:szCs w:val="14"/>
        <w:u w:val="none"/>
        <w:shd w:fill="auto" w:val="clear"/>
        <w:vertAlign w:val="baseline"/>
        <w:rtl w:val="0"/>
      </w:rPr>
      <w:t xml:space="preserve">IDEATION PHASE  |  Auto Ticket Classification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43447"/>
        <w:sz w:val="18"/>
        <w:szCs w:val="18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00" w:lineRule="auto"/>
    </w:pPr>
    <w:rPr>
      <w:rFonts w:ascii="Arial" w:cs="Arial" w:eastAsia="Arial" w:hAnsi="Arial"/>
      <w:b w:val="1"/>
      <w:bCs w:val="1"/>
      <w:color w:val="16324f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00" w:lineRule="auto"/>
    </w:pPr>
    <w:rPr>
      <w:rFonts w:ascii="Arial" w:cs="Arial" w:eastAsia="Arial" w:hAnsi="Arial"/>
      <w:b w:val="1"/>
      <w:bCs w:val="1"/>
      <w:color w:val="16324f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00" w:lineRule="auto"/>
    </w:pPr>
    <w:rPr>
      <w:rFonts w:ascii="Arial" w:cs="Arial" w:eastAsia="Arial" w:hAnsi="Arial"/>
      <w:b w:val="1"/>
      <w:bCs w:val="1"/>
      <w:color w:val="2364aa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line="240" w:lineRule="auto"/>
    </w:pPr>
    <w:rPr>
      <w:rFonts w:ascii="Arial" w:cs="Arial" w:eastAsia="Arial" w:hAnsi="Arial"/>
      <w:b w:val="1"/>
      <w:bCs w:val="1"/>
      <w:color w:val="16324f"/>
      <w:sz w:val="42"/>
      <w:szCs w:val="4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