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C8C83"/>
          <w:sz w:val="16"/>
        </w:rPr>
        <w:t>IDEATION PHASE  /  PROJECT BRAINSTORM</w:t>
      </w:r>
    </w:p>
    <w:p>
      <w:pPr>
        <w:pStyle w:val="Title"/>
      </w:pPr>
      <w:r>
        <w:t>Brainstorm &amp; Idea Prioritization</w:t>
      </w:r>
    </w:p>
    <w:p>
      <w:pPr>
        <w:spacing w:after="160"/>
      </w:pPr>
      <w:r>
        <w:rPr>
          <w:color w:val="5E6C78"/>
          <w:sz w:val="18"/>
        </w:rPr>
        <w:t>Project Title: Auto Ticket Classification Using Flow Designer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752"/>
        <w:gridCol w:w="1656"/>
        <w:gridCol w:w="2232"/>
      </w:tblGrid>
      <w:tr>
        <w:trPr>
          <w:tblHeader w:val="true"/>
        </w:trP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3 October 2026</w:t>
            </w:r>
          </w:p>
        </w:tc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Team ID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6abab5f0ad6b12298106a12a</w:t>
            </w:r>
          </w:p>
        </w:tc>
      </w:tr>
      <w:tr>
        <w:tc>
          <w:tcPr>
            <w:tcW w:type="dxa" w:w="14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Project Name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Auto Ticket Classification Using Flow Designer</w:t>
            </w:r>
          </w:p>
        </w:tc>
        <w:tc>
          <w:tcPr>
            <w:tcW w:type="dxa" w:w="16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Maximum Marks</w:t>
            </w:r>
          </w:p>
        </w:tc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4 Marks</w:t>
            </w:r>
          </w:p>
        </w:tc>
      </w:tr>
    </w:tbl>
    <w:p>
      <w:pPr>
        <w:spacing w:after="0"/>
      </w:pPr>
    </w:p>
    <w:p>
      <w:r>
        <w:rPr>
          <w:b/>
        </w:rPr>
        <w:t>Purpose.</w:t>
      </w:r>
      <w:r>
        <w:t xml:space="preserve"> Use this worksheet to define the service-desk problem, generate solution options, and rank a practical first release. The original template’s three-step brainstorming structure is retained.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F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7"/>
              </w:rPr>
              <w:t>Working assumption</w:t>
              <w:br/>
              <w:t>“Flow Designer” refers to ServiceNow Flow Designer. The proposed approach uses available ticket fields, configurable rules, and optional prediction/classification capabilities where licensed and supported. Confirm the platform edition, data access, and governance requirements during discovery.</w:t>
            </w:r>
          </w:p>
        </w:tc>
      </w:tr>
    </w:tbl>
    <w:p>
      <w:pPr>
        <w:spacing w:after="0"/>
      </w:pPr>
    </w:p>
    <w:p>
      <w:pPr>
        <w:pStyle w:val="Heading2"/>
      </w:pPr>
      <w:r>
        <w:t>Step 1: Team Gathering, Collaboration and Select the Problem Statement</w:t>
      </w:r>
    </w:p>
    <w:p>
      <w:r>
        <w:t>Bring service-desk agents, platform administrators, process owners, and reporting stakeholders together. Agree on the ticket types and outcomes in scope before choosing automation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Prompt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Working answer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Who experiences the problem?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Service-desk agents and requesters; support teams receiving misrouted incidents or requests.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What is happening today?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Incoming tickets are manually reviewed and categorized. Classification varies by agent, queues build up, and tickets may be reassigned before reaching the right team.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Why does it matter?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Manual triage adds handling time, delays first response and resolution, and reduces consistency in routing and reporting.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Problem statement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How might we classify and route new service tickets consistently and quickly using Flow Designer, while keeping agents in control when confidence or data quality is low?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Desired outcome</w:t>
            </w:r>
          </w:p>
        </w:tc>
        <w:tc>
          <w:tcPr>
            <w:tcW w:type="dxa" w:w="78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Reduce time spent on routine triage, improve category and assignment accuracy, and preserve a clear audit trail and simple human override.</w:t>
            </w:r>
          </w:p>
        </w:tc>
      </w:tr>
    </w:tbl>
    <w:p>
      <w:pPr>
        <w:spacing w:after="0"/>
      </w:pPr>
    </w:p>
    <w:p>
      <w:pPr>
        <w:pStyle w:val="Heading3"/>
      </w:pPr>
      <w:r>
        <w:t>Scope for discovery</w:t>
      </w:r>
    </w:p>
    <w:p>
      <w:r>
        <w:t>In scope: new tickets from agreed channels, a defined set of high-volume categories, category/subcategory suggestions, assignment group routing, exception handling, and performance measurement. Out of scope for the first iteration: automatic closure, high-impact priority changes without review, and unsupported ticket types.</w:t>
      </w:r>
    </w:p>
    <w:p>
      <w:pPr>
        <w:pStyle w:val="Heading3"/>
      </w:pPr>
      <w:r>
        <w:t>Baseline measures to collect</w:t>
      </w:r>
    </w:p>
    <w:p>
      <w:r>
        <w:t>Capture current median time to classify, percentage routed to the correct group on first assignment, reassignment rate, category completeness, and ticket volume by type. Set targets after establishing the baseline.</w:t>
      </w:r>
    </w:p>
    <w:p>
      <w:r>
        <w:br w:type="page"/>
      </w:r>
    </w:p>
    <w:p>
      <w:pPr>
        <w:spacing w:after="40"/>
      </w:pPr>
      <w:r>
        <w:rPr>
          <w:rFonts w:ascii="Arial" w:hAnsi="Arial"/>
          <w:b/>
          <w:color w:val="1C8C83"/>
          <w:sz w:val="16"/>
        </w:rPr>
        <w:t>IDEATION PHASE  /  GENERATE AND DECIDE</w:t>
      </w:r>
    </w:p>
    <w:p>
      <w:pPr>
        <w:pStyle w:val="Title"/>
      </w:pPr>
      <w:r>
        <w:t>From options to a first release</w:t>
      </w:r>
    </w:p>
    <w:p>
      <w:r>
        <w:t>List broadly first, then rank ideas against customer value, feasibility, and operational risk.</w:t>
      </w:r>
    </w:p>
    <w:p>
      <w:pPr>
        <w:pStyle w:val="Heading2"/>
      </w:pPr>
      <w:r>
        <w:t>Step 2: Brainstorm, Idea Listing and Grouping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960"/>
        <w:gridCol w:w="4392"/>
      </w:tblGrid>
      <w:tr>
        <w:trPr>
          <w:tblHeader w:val="true"/>
        </w:trP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Group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Idea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Benefit / consideration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Data &amp; signals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Standardize category, short description, description, service, and requester inputs.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Improves consistency; begin with fields already captured and permitted for use.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Rules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Use Flow Designer conditions for clear, deterministic mappings (for example, service or request type to assignment group).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Fast, explainable baseline; maintain a controlled rule set and a safe fallback.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Prediction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Evaluate a supported classification model or text prediction capability using reviewed historical tickets.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Can handle varied wording; requires sufficient representative data, validation, and monitoring.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Flow orchestration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Trigger on ticket creation or relevant updates, check required fields, classify, set permitted fields, and route.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Automates repeatable steps; avoid loops, duplicate actions, and overwriting agent decisions.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Human review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Send low-confidence or ambiguous cases to a triage queue with suggested category and reason.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Keeps uncertain cases safe; define confidence thresholds with measured validation.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Feedback &amp; learning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Capture agent corrections and review them periodically to improve mappings or retrain an approved model.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Creates a learning loop; corrections need quality checks and change ownership.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Monitoring</w:t>
            </w:r>
          </w:p>
        </w:tc>
        <w:tc>
          <w:tcPr>
            <w:tcW w:type="dxa" w:w="39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Track first-assignment accuracy, override rate, fallback volume, processing failures, and time-to-route.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Shows value and drift; dashboard definitions should be agreed before launch.</w:t>
            </w:r>
          </w:p>
        </w:tc>
      </w:tr>
    </w:tbl>
    <w:p>
      <w:pPr>
        <w:spacing w:after="0"/>
      </w:pPr>
    </w:p>
    <w:p>
      <w:pPr>
        <w:pStyle w:val="Heading3"/>
      </w:pPr>
      <w:r>
        <w:t>Idea clusters</w:t>
      </w:r>
    </w:p>
    <w:p>
      <w:r>
        <w:t>Reliable foundations: clean inputs, explicit mappings, fallback queue. Assisted intelligence: optional prediction with confidence-based review. Operational control: audit logs, agent override, monitoring, and governed updates.</w:t>
      </w:r>
    </w:p>
    <w:p>
      <w:pPr>
        <w:pStyle w:val="Heading2"/>
      </w:pPr>
      <w:r>
        <w:t>Step 3: Idea Prioritization</w:t>
      </w:r>
    </w:p>
    <w:p>
      <w:r>
        <w:t>Scores use a simple 1–5 scale (5 = strongest). Feasibility means ease of delivery; risk score means safety/operational risk (5 = lowest risk). Validate estimates with the platform team before committing.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749"/>
        <w:gridCol w:w="1195"/>
        <w:gridCol w:w="691"/>
        <w:gridCol w:w="936"/>
        <w:gridCol w:w="3413"/>
      </w:tblGrid>
      <w:tr>
        <w:trPr>
          <w:tblHeader w:val="true"/>
        </w:trPr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Idea</w:t>
            </w:r>
          </w:p>
        </w:tc>
        <w:tc>
          <w:tcPr>
            <w:tcW w:type="dxa" w:w="7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Value</w:t>
            </w:r>
          </w:p>
        </w:tc>
        <w:tc>
          <w:tcPr>
            <w:tcW w:type="dxa" w:w="1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Feasibility</w:t>
            </w:r>
          </w:p>
        </w:tc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Risk</w:t>
            </w:r>
          </w:p>
        </w:tc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34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16324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Decision</w:t>
            </w:r>
          </w:p>
        </w:tc>
      </w:tr>
      <w:tr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Normalize inputs + baseline measures</w:t>
            </w:r>
          </w:p>
        </w:tc>
        <w:tc>
          <w:tcPr>
            <w:tcW w:type="dxa" w:w="7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4</w:t>
            </w:r>
          </w:p>
        </w:tc>
        <w:tc>
          <w:tcPr>
            <w:tcW w:type="dxa" w:w="1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14</w:t>
            </w:r>
          </w:p>
        </w:tc>
        <w:tc>
          <w:tcPr>
            <w:tcW w:type="dxa" w:w="34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Start: establish clean data and baseline.</w:t>
            </w:r>
          </w:p>
        </w:tc>
      </w:tr>
      <w:tr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Deterministic rules in Flow Designer</w:t>
            </w:r>
          </w:p>
        </w:tc>
        <w:tc>
          <w:tcPr>
            <w:tcW w:type="dxa" w:w="7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4</w:t>
            </w:r>
          </w:p>
        </w:tc>
        <w:tc>
          <w:tcPr>
            <w:tcW w:type="dxa" w:w="1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4</w:t>
            </w:r>
          </w:p>
        </w:tc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34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Start: automate clear, low-risk cases.</w:t>
            </w:r>
          </w:p>
        </w:tc>
      </w:tr>
      <w:tr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Fallback queue + agent override</w:t>
            </w:r>
          </w:p>
        </w:tc>
        <w:tc>
          <w:tcPr>
            <w:tcW w:type="dxa" w:w="7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1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4</w:t>
            </w:r>
          </w:p>
        </w:tc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14</w:t>
            </w:r>
          </w:p>
        </w:tc>
        <w:tc>
          <w:tcPr>
            <w:tcW w:type="dxa" w:w="34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Start: required safety and exception path.</w:t>
            </w:r>
          </w:p>
        </w:tc>
      </w:tr>
      <w:tr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Prediction-based classification</w:t>
            </w:r>
          </w:p>
        </w:tc>
        <w:tc>
          <w:tcPr>
            <w:tcW w:type="dxa" w:w="7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1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11</w:t>
            </w:r>
          </w:p>
        </w:tc>
        <w:tc>
          <w:tcPr>
            <w:tcW w:type="dxa" w:w="34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4F7FA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Pilot after data and capability review.</w:t>
            </w:r>
          </w:p>
        </w:tc>
      </w:tr>
      <w:tr>
        <w:tc>
          <w:tcPr>
            <w:tcW w:type="dxa" w:w="3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Feedback and monitoring dashboard</w:t>
            </w:r>
          </w:p>
        </w:tc>
        <w:tc>
          <w:tcPr>
            <w:tcW w:type="dxa" w:w="7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4</w:t>
            </w:r>
          </w:p>
        </w:tc>
        <w:tc>
          <w:tcPr>
            <w:tcW w:type="dxa" w:w="119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4</w:t>
            </w:r>
          </w:p>
        </w:tc>
        <w:tc>
          <w:tcPr>
            <w:tcW w:type="dxa" w:w="6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4</w:t>
            </w:r>
          </w:p>
        </w:tc>
        <w:tc>
          <w:tcPr>
            <w:tcW w:type="dxa" w:w="93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12</w:t>
            </w:r>
          </w:p>
        </w:tc>
        <w:tc>
          <w:tcPr>
            <w:tcW w:type="dxa" w:w="34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</w:tcPr>
          <w:p>
            <w:pPr>
              <w:spacing w:after="0" w:line="240" w:lineRule="auto"/>
            </w:pPr>
            <w:r/>
            <w:r>
              <w:rPr>
                <w:rFonts w:ascii="Arial" w:hAnsi="Arial"/>
                <w:b w:val="0"/>
                <w:color w:val="243447"/>
                <w:sz w:val="15"/>
              </w:rPr>
              <w:t>Include measurement; refine after pilot.</w:t>
            </w:r>
          </w:p>
        </w:tc>
      </w:tr>
    </w:tbl>
    <w:p>
      <w:pPr>
        <w:spacing w:after="0"/>
      </w:pPr>
    </w:p>
    <w:p>
      <w:pPr>
        <w:pStyle w:val="Heading3"/>
      </w:pPr>
      <w:r>
        <w:t>Recommended first release</w:t>
      </w:r>
    </w:p>
    <w:p>
      <w:r>
        <w:t>Begin with a measured pilot: normalize the agreed input fields; apply transparent Flow Designer rules to a small set of high-volume ticket types; route uncertain or unmatched cases to human triage; and log the classification, rule/model version, and any agent override. Evaluate prediction as a later controlled enhancement if platform support and representative labeled data are confirmed.</w:t>
      </w:r>
    </w:p>
    <w:p>
      <w:pPr>
        <w:pStyle w:val="Heading3"/>
      </w:pPr>
      <w:r>
        <w:t>Pilot success checks</w:t>
      </w:r>
    </w:p>
    <w:p>
      <w:r>
        <w:t>Compare against the baseline: first-assignment accuracy, median time to route, reassignment rate, agent override rate, fallback volume, and flow failures. Review results by category and channel. Agree target thresholds before enabling broader automation.</w:t>
      </w:r>
    </w:p>
    <w:p>
      <w:pPr>
        <w:pStyle w:val="Heading3"/>
      </w:pPr>
      <w:r>
        <w:t>Risks and controls</w:t>
      </w:r>
    </w:p>
    <w:p>
      <w:r>
        <w:t>Incorrect routing: use a fallback queue and agent override. Biased or stale examples: review training data and monitor results by category. Unexpected field changes: restrict writes to approved fields and protect manual decisions. Flow errors or duplicates: test trigger conditions, idempotency, and error handling in a non-production environment before release.</w:t>
      </w:r>
    </w:p>
    <w:p>
      <w:r>
        <w:rPr>
          <w:b/>
        </w:rPr>
        <w:t>Team decision:</w:t>
      </w:r>
      <w:r>
        <w:t xml:space="preserve"> Approve discovery and a rules-based pilot; confirm scope, baseline, platform capabilities, field ownership, review threshold, and go-live criteria with stakeholders.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E6C78"/>
        <w:sz w:val="14"/>
      </w:rPr>
      <w:t>IDEATION PHASE  |  Auto Ticket Classification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2434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632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364AA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324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Template - Auto Ticket Classification Using Flow Designer</dc:title>
  <dc:subject>Brainstorming and idea prioritization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