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D18A20"/>
        </w:rPr>
        <w:t>IDEATION PHASE  /  SERVICE EXPERIENCE</w:t>
      </w:r>
    </w:p>
    <w:p>
      <w:pPr>
        <w:pStyle w:val="Title"/>
      </w:pPr>
      <w:r>
        <w:t>Customer Journey Map</w:t>
      </w:r>
    </w:p>
    <w:p>
      <w:pPr>
        <w:spacing w:after="120"/>
      </w:pPr>
      <w:r>
        <w:rPr>
          <w:color w:val="6D6473"/>
        </w:rPr>
        <w:t>Project Title: Auto Ticket Classification Using Flow Designer  |  Primary persona: person requesting IT support</w:t>
      </w:r>
    </w:p>
    <w:tbl>
      <w:tblPr>
        <w:tblW w:type="auto" w:w="0"/>
        <w:jc w:val="center"/>
        <w:tblLayout w:type="fixed"/>
        <w:tblLook w:firstColumn="1" w:firstRow="1" w:lastColumn="0" w:lastRow="0" w:noHBand="0" w:noVBand="1" w:val="04A0"/>
      </w:tblPr>
      <w:tblGrid>
        <w:gridCol w:w="1152"/>
        <w:gridCol w:w="2160"/>
        <w:gridCol w:w="1152"/>
        <w:gridCol w:w="2160"/>
        <w:gridCol w:w="1728"/>
        <w:gridCol w:w="6768"/>
      </w:tblGrid>
      <w:tr>
        <w:tc>
          <w:tcPr>
            <w:tcW w:type="dxa" w:w="1152"/>
            <w:vAlign w:val="top"/>
            <w:shd w:fill="F1EAF5"/>
            <w:tcMar>
              <w:top w:w="85" w:type="dxa"/>
              <w:start w:w="95" w:type="dxa"/>
              <w:bottom w:w="85" w:type="dxa"/>
              <w:end w:w="95" w:type="dxa"/>
            </w:tcMar>
          </w:tcPr>
          <w:p>
            <w:pPr>
              <w:spacing w:after="40" w:line="240" w:lineRule="auto"/>
            </w:pPr>
            <w:r/>
            <w:r>
              <w:rPr>
                <w:rFonts w:ascii="Arial" w:hAnsi="Arial"/>
                <w:b/>
                <w:color w:val="302A36"/>
                <w:sz w:val="15"/>
              </w:rPr>
              <w:t>Date</w:t>
            </w:r>
          </w:p>
        </w:tc>
        <w:tc>
          <w:tcPr>
            <w:tcW w:type="dxa" w:w="2160"/>
            <w:vAlign w:val="top"/>
            <w:shd w:fill="F1EAF5"/>
            <w:tcMar>
              <w:top w:w="85" w:type="dxa"/>
              <w:start w:w="95" w:type="dxa"/>
              <w:bottom w:w="85" w:type="dxa"/>
              <w:end w:w="95" w:type="dxa"/>
            </w:tcMar>
          </w:tcPr>
          <w:p>
            <w:pPr>
              <w:spacing w:after="40" w:line="240" w:lineRule="auto"/>
            </w:pPr>
            <w:r/>
            <w:r>
              <w:rPr>
                <w:rFonts w:ascii="Arial" w:hAnsi="Arial"/>
                <w:b w:val="0"/>
                <w:color w:val="302A36"/>
                <w:sz w:val="15"/>
              </w:rPr>
              <w:t>3 October 2026</w:t>
            </w:r>
          </w:p>
        </w:tc>
        <w:tc>
          <w:tcPr>
            <w:tcW w:type="dxa" w:w="1152"/>
            <w:vAlign w:val="top"/>
            <w:shd w:fill="F1EAF5"/>
            <w:tcMar>
              <w:top w:w="85" w:type="dxa"/>
              <w:start w:w="95" w:type="dxa"/>
              <w:bottom w:w="85" w:type="dxa"/>
              <w:end w:w="95" w:type="dxa"/>
            </w:tcMar>
          </w:tcPr>
          <w:p>
            <w:pPr>
              <w:spacing w:after="40" w:line="240" w:lineRule="auto"/>
            </w:pPr>
            <w:r/>
            <w:r>
              <w:rPr>
                <w:rFonts w:ascii="Arial" w:hAnsi="Arial"/>
                <w:b/>
                <w:color w:val="302A36"/>
                <w:sz w:val="15"/>
              </w:rPr>
              <w:t>Team ID</w:t>
            </w:r>
          </w:p>
        </w:tc>
        <w:tc>
          <w:tcPr>
            <w:tcW w:type="dxa" w:w="2160"/>
            <w:vAlign w:val="top"/>
            <w:shd w:fill="F1EAF5"/>
            <w:tcMar>
              <w:top w:w="85" w:type="dxa"/>
              <w:start w:w="95" w:type="dxa"/>
              <w:bottom w:w="85" w:type="dxa"/>
              <w:end w:w="95" w:type="dxa"/>
            </w:tcMar>
          </w:tcPr>
          <w:p>
            <w:pPr>
              <w:spacing w:after="40" w:line="240" w:lineRule="auto"/>
            </w:pPr>
            <w:r/>
            <w:r>
              <w:rPr>
                <w:rFonts w:ascii="Arial" w:hAnsi="Arial"/>
                <w:b w:val="0"/>
                <w:color w:val="302A36"/>
                <w:sz w:val="15"/>
              </w:rPr>
              <w:t>6abab5f0ad6b12298106a12a</w:t>
            </w:r>
          </w:p>
        </w:tc>
        <w:tc>
          <w:tcPr>
            <w:tcW w:type="dxa" w:w="1728"/>
            <w:vAlign w:val="top"/>
            <w:shd w:fill="F1EAF5"/>
            <w:tcMar>
              <w:top w:w="85" w:type="dxa"/>
              <w:start w:w="95" w:type="dxa"/>
              <w:bottom w:w="85" w:type="dxa"/>
              <w:end w:w="95" w:type="dxa"/>
            </w:tcMar>
          </w:tcPr>
          <w:p>
            <w:pPr>
              <w:spacing w:after="40" w:line="240" w:lineRule="auto"/>
            </w:pPr>
            <w:r/>
            <w:r>
              <w:rPr>
                <w:rFonts w:ascii="Arial" w:hAnsi="Arial"/>
                <w:b/>
                <w:color w:val="302A36"/>
                <w:sz w:val="15"/>
              </w:rPr>
              <w:t>Journey scope</w:t>
            </w:r>
          </w:p>
        </w:tc>
        <w:tc>
          <w:tcPr>
            <w:tcW w:type="dxa" w:w="6768"/>
            <w:vAlign w:val="top"/>
            <w:shd w:fill="F1EAF5"/>
            <w:tcMar>
              <w:top w:w="85" w:type="dxa"/>
              <w:start w:w="95" w:type="dxa"/>
              <w:bottom w:w="85" w:type="dxa"/>
              <w:end w:w="95" w:type="dxa"/>
            </w:tcMar>
          </w:tcPr>
          <w:p>
            <w:pPr>
              <w:spacing w:after="40" w:line="240" w:lineRule="auto"/>
            </w:pPr>
            <w:r/>
            <w:r>
              <w:rPr>
                <w:rFonts w:ascii="Arial" w:hAnsi="Arial"/>
                <w:b w:val="0"/>
                <w:color w:val="302A36"/>
                <w:sz w:val="15"/>
              </w:rPr>
              <w:t>Issue discovery through resolution and follow-up</w:t>
            </w:r>
          </w:p>
        </w:tc>
      </w:tr>
    </w:tbl>
    <w:p>
      <w:pPr>
        <w:spacing w:before="100" w:after="120"/>
      </w:pPr>
      <w:r>
        <w:rPr>
          <w:b/>
        </w:rPr>
        <w:t xml:space="preserve">Working journey hypothesis. </w:t>
      </w:r>
      <w:r>
        <w:t>This map describes a typical requester journey for an IT support ticket. Validate stages, emotions and pain points with requesters and service desk agents. The classification and routing opportunity is shown at the triage stage; it assumes ServiceNow Flow Designer and needs platform validation.</w:t>
      </w:r>
    </w:p>
    <w:tbl>
      <w:tblPr>
        <w:tblW w:type="auto" w:w="0"/>
        <w:jc w:val="center"/>
        <w:tblLayout w:type="fixed"/>
        <w:tblLook w:firstColumn="1" w:firstRow="1" w:lastColumn="0" w:lastRow="0" w:noHBand="0" w:noVBand="1" w:val="04A0"/>
      </w:tblPr>
      <w:tblGrid>
        <w:gridCol w:w="1728"/>
        <w:gridCol w:w="4003"/>
        <w:gridCol w:w="4003"/>
        <w:gridCol w:w="4003"/>
        <w:gridCol w:w="4003"/>
        <w:gridCol w:w="4003"/>
      </w:tblGrid>
      <w:tr>
        <w:tc>
          <w:tcPr>
            <w:tcW w:type="dxa" w:w="1728"/>
            <w:vAlign w:val="top"/>
            <w:shd w:fill="3D2A56"/>
            <w:tcMar>
              <w:top w:w="85" w:type="dxa"/>
              <w:start w:w="95" w:type="dxa"/>
              <w:bottom w:w="85" w:type="dxa"/>
              <w:end w:w="95" w:type="dxa"/>
            </w:tcMar>
          </w:tcPr>
          <w:p>
            <w:pPr>
              <w:spacing w:after="40" w:line="240" w:lineRule="auto"/>
            </w:pPr>
            <w:r/>
            <w:r>
              <w:rPr>
                <w:rFonts w:ascii="Arial" w:hAnsi="Arial"/>
                <w:b/>
                <w:color w:val="FFFFFF"/>
                <w:sz w:val="15"/>
              </w:rPr>
              <w:t>JOURNEY ROW</w:t>
            </w:r>
          </w:p>
        </w:tc>
        <w:tc>
          <w:tcPr>
            <w:tcW w:type="dxa" w:w="4003"/>
            <w:vAlign w:val="top"/>
            <w:shd w:fill="3D2A56"/>
            <w:tcMar>
              <w:top w:w="85" w:type="dxa"/>
              <w:start w:w="95" w:type="dxa"/>
              <w:bottom w:w="85" w:type="dxa"/>
              <w:end w:w="95" w:type="dxa"/>
            </w:tcMar>
          </w:tcPr>
          <w:p>
            <w:pPr>
              <w:spacing w:after="40" w:line="240" w:lineRule="auto"/>
            </w:pPr>
            <w:r/>
            <w:r>
              <w:rPr>
                <w:rFonts w:ascii="Arial" w:hAnsi="Arial"/>
                <w:b/>
                <w:color w:val="FFFFFF"/>
                <w:sz w:val="15"/>
              </w:rPr>
              <w:t>NOTICE ISSUE</w:t>
            </w:r>
          </w:p>
        </w:tc>
        <w:tc>
          <w:tcPr>
            <w:tcW w:type="dxa" w:w="4003"/>
            <w:vAlign w:val="top"/>
            <w:shd w:fill="3D2A56"/>
            <w:tcMar>
              <w:top w:w="85" w:type="dxa"/>
              <w:start w:w="95" w:type="dxa"/>
              <w:bottom w:w="85" w:type="dxa"/>
              <w:end w:w="95" w:type="dxa"/>
            </w:tcMar>
          </w:tcPr>
          <w:p>
            <w:pPr>
              <w:spacing w:after="40" w:line="240" w:lineRule="auto"/>
            </w:pPr>
            <w:r/>
            <w:r>
              <w:rPr>
                <w:rFonts w:ascii="Arial" w:hAnsi="Arial"/>
                <w:b/>
                <w:color w:val="FFFFFF"/>
                <w:sz w:val="15"/>
              </w:rPr>
              <w:t>SUBMIT TICKET</w:t>
            </w:r>
          </w:p>
        </w:tc>
        <w:tc>
          <w:tcPr>
            <w:tcW w:type="dxa" w:w="4003"/>
            <w:vAlign w:val="top"/>
            <w:shd w:fill="3D2A56"/>
            <w:tcMar>
              <w:top w:w="85" w:type="dxa"/>
              <w:start w:w="95" w:type="dxa"/>
              <w:bottom w:w="85" w:type="dxa"/>
              <w:end w:w="95" w:type="dxa"/>
            </w:tcMar>
          </w:tcPr>
          <w:p>
            <w:pPr>
              <w:spacing w:after="40" w:line="240" w:lineRule="auto"/>
            </w:pPr>
            <w:r/>
            <w:r>
              <w:rPr>
                <w:rFonts w:ascii="Arial" w:hAnsi="Arial"/>
                <w:b/>
                <w:color w:val="FFFFFF"/>
                <w:sz w:val="15"/>
              </w:rPr>
              <w:t>CLASSIFY &amp; ROUTE</w:t>
            </w:r>
          </w:p>
        </w:tc>
        <w:tc>
          <w:tcPr>
            <w:tcW w:type="dxa" w:w="4003"/>
            <w:vAlign w:val="top"/>
            <w:shd w:fill="3D2A56"/>
            <w:tcMar>
              <w:top w:w="85" w:type="dxa"/>
              <w:start w:w="95" w:type="dxa"/>
              <w:bottom w:w="85" w:type="dxa"/>
              <w:end w:w="95" w:type="dxa"/>
            </w:tcMar>
          </w:tcPr>
          <w:p>
            <w:pPr>
              <w:spacing w:after="40" w:line="240" w:lineRule="auto"/>
            </w:pPr>
            <w:r/>
            <w:r>
              <w:rPr>
                <w:rFonts w:ascii="Arial" w:hAnsi="Arial"/>
                <w:b/>
                <w:color w:val="FFFFFF"/>
                <w:sz w:val="15"/>
              </w:rPr>
              <w:t>WORK &amp; UPDATE</w:t>
            </w:r>
          </w:p>
        </w:tc>
        <w:tc>
          <w:tcPr>
            <w:tcW w:type="dxa" w:w="4003"/>
            <w:vAlign w:val="top"/>
            <w:shd w:fill="3D2A56"/>
            <w:tcMar>
              <w:top w:w="85" w:type="dxa"/>
              <w:start w:w="95" w:type="dxa"/>
              <w:bottom w:w="85" w:type="dxa"/>
              <w:end w:w="95" w:type="dxa"/>
            </w:tcMar>
          </w:tcPr>
          <w:p>
            <w:pPr>
              <w:spacing w:after="40" w:line="240" w:lineRule="auto"/>
            </w:pPr>
            <w:r/>
            <w:r>
              <w:rPr>
                <w:rFonts w:ascii="Arial" w:hAnsi="Arial"/>
                <w:b/>
                <w:color w:val="FFFFFF"/>
                <w:sz w:val="15"/>
              </w:rPr>
              <w:t>RESOLVE &amp; LEARN</w:t>
            </w:r>
          </w:p>
        </w:tc>
      </w:tr>
      <w:tr>
        <w:tc>
          <w:tcPr>
            <w:tcW w:type="dxa" w:w="1728"/>
            <w:vAlign w:val="top"/>
            <w:shd w:fill="7651A8"/>
            <w:tcMar>
              <w:top w:w="85" w:type="dxa"/>
              <w:start w:w="95" w:type="dxa"/>
              <w:bottom w:w="85" w:type="dxa"/>
              <w:end w:w="95" w:type="dxa"/>
            </w:tcMar>
          </w:tcPr>
          <w:p>
            <w:pPr>
              <w:spacing w:after="40" w:line="240" w:lineRule="auto"/>
            </w:pPr>
            <w:r/>
            <w:r>
              <w:rPr>
                <w:rFonts w:ascii="Arial" w:hAnsi="Arial"/>
                <w:b/>
                <w:color w:val="FFFFFF"/>
                <w:sz w:val="15"/>
              </w:rPr>
              <w:t>STEPS</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Notice an IT issue or service need.</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Open the support portal or approved channel and describe the issue.</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Ticket is categorized and assigned to a support group.</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Agent investigates, requests details, and keeps the requester informed.</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Requester confirms the outcome; ticket is closed and feedback may be captured.</w:t>
            </w:r>
          </w:p>
        </w:tc>
      </w:tr>
      <w:tr>
        <w:tc>
          <w:tcPr>
            <w:tcW w:type="dxa" w:w="1728"/>
            <w:vAlign w:val="top"/>
            <w:shd w:fill="7651A8"/>
            <w:tcMar>
              <w:top w:w="85" w:type="dxa"/>
              <w:start w:w="95" w:type="dxa"/>
              <w:bottom w:w="85" w:type="dxa"/>
              <w:end w:w="95" w:type="dxa"/>
            </w:tcMar>
          </w:tcPr>
          <w:p>
            <w:pPr>
              <w:spacing w:after="40" w:line="240" w:lineRule="auto"/>
            </w:pPr>
            <w:r/>
            <w:r>
              <w:rPr>
                <w:rFonts w:ascii="Arial" w:hAnsi="Arial"/>
                <w:b/>
                <w:color w:val="FFFFFF"/>
                <w:sz w:val="15"/>
              </w:rPr>
              <w:t>ACTIONS</w:t>
            </w:r>
          </w:p>
        </w:tc>
        <w:tc>
          <w:tcPr>
            <w:tcW w:type="dxa" w:w="4003"/>
            <w:vAlign w:val="top"/>
            <w:shd w:fill="FAF7FC"/>
            <w:tcMar>
              <w:top w:w="85" w:type="dxa"/>
              <w:start w:w="95" w:type="dxa"/>
              <w:bottom w:w="85" w:type="dxa"/>
              <w:end w:w="95" w:type="dxa"/>
            </w:tcMar>
          </w:tcPr>
          <w:p>
            <w:pPr>
              <w:spacing w:after="40" w:line="240" w:lineRule="auto"/>
            </w:pPr>
            <w:r/>
            <w:r>
              <w:rPr>
                <w:rFonts w:ascii="Arial" w:hAnsi="Arial"/>
                <w:b w:val="0"/>
                <w:color w:val="302A36"/>
                <w:sz w:val="15"/>
              </w:rPr>
              <w:t>Decide whether support is needed and where to ask.</w:t>
            </w:r>
          </w:p>
        </w:tc>
        <w:tc>
          <w:tcPr>
            <w:tcW w:type="dxa" w:w="4003"/>
            <w:vAlign w:val="top"/>
            <w:shd w:fill="FAF7FC"/>
            <w:tcMar>
              <w:top w:w="85" w:type="dxa"/>
              <w:start w:w="95" w:type="dxa"/>
              <w:bottom w:w="85" w:type="dxa"/>
              <w:end w:w="95" w:type="dxa"/>
            </w:tcMar>
          </w:tcPr>
          <w:p>
            <w:pPr>
              <w:spacing w:after="40" w:line="240" w:lineRule="auto"/>
            </w:pPr>
            <w:r/>
            <w:r>
              <w:rPr>
                <w:rFonts w:ascii="Arial" w:hAnsi="Arial"/>
                <w:b w:val="0"/>
                <w:color w:val="302A36"/>
                <w:sz w:val="15"/>
              </w:rPr>
              <w:t>Enter a short description and details; choose any available category or service.</w:t>
            </w:r>
          </w:p>
        </w:tc>
        <w:tc>
          <w:tcPr>
            <w:tcW w:type="dxa" w:w="4003"/>
            <w:vAlign w:val="top"/>
            <w:shd w:fill="FAF7FC"/>
            <w:tcMar>
              <w:top w:w="85" w:type="dxa"/>
              <w:start w:w="95" w:type="dxa"/>
              <w:bottom w:w="85" w:type="dxa"/>
              <w:end w:w="95" w:type="dxa"/>
            </w:tcMar>
          </w:tcPr>
          <w:p>
            <w:pPr>
              <w:spacing w:after="40" w:line="240" w:lineRule="auto"/>
            </w:pPr>
            <w:r/>
            <w:r>
              <w:rPr>
                <w:rFonts w:ascii="Arial" w:hAnsi="Arial"/>
                <w:b w:val="0"/>
                <w:color w:val="302A36"/>
                <w:sz w:val="15"/>
              </w:rPr>
              <w:t>Agent reviews fields, chooses category and priority, then routes or corrects the ticket.</w:t>
            </w:r>
          </w:p>
        </w:tc>
        <w:tc>
          <w:tcPr>
            <w:tcW w:type="dxa" w:w="4003"/>
            <w:vAlign w:val="top"/>
            <w:shd w:fill="FAF7FC"/>
            <w:tcMar>
              <w:top w:w="85" w:type="dxa"/>
              <w:start w:w="95" w:type="dxa"/>
              <w:bottom w:w="85" w:type="dxa"/>
              <w:end w:w="95" w:type="dxa"/>
            </w:tcMar>
          </w:tcPr>
          <w:p>
            <w:pPr>
              <w:spacing w:after="40" w:line="240" w:lineRule="auto"/>
            </w:pPr>
            <w:r/>
            <w:r>
              <w:rPr>
                <w:rFonts w:ascii="Arial" w:hAnsi="Arial"/>
                <w:b w:val="0"/>
                <w:color w:val="302A36"/>
                <w:sz w:val="15"/>
              </w:rPr>
              <w:t>Agent diagnoses, collaborates, changes assignment if needed, and records work.</w:t>
            </w:r>
          </w:p>
        </w:tc>
        <w:tc>
          <w:tcPr>
            <w:tcW w:type="dxa" w:w="4003"/>
            <w:vAlign w:val="top"/>
            <w:shd w:fill="FAF7FC"/>
            <w:tcMar>
              <w:top w:w="85" w:type="dxa"/>
              <w:start w:w="95" w:type="dxa"/>
              <w:bottom w:w="85" w:type="dxa"/>
              <w:end w:w="95" w:type="dxa"/>
            </w:tcMar>
          </w:tcPr>
          <w:p>
            <w:pPr>
              <w:spacing w:after="40" w:line="240" w:lineRule="auto"/>
            </w:pPr>
            <w:r/>
            <w:r>
              <w:rPr>
                <w:rFonts w:ascii="Arial" w:hAnsi="Arial"/>
                <w:b w:val="0"/>
                <w:color w:val="302A36"/>
                <w:sz w:val="15"/>
              </w:rPr>
              <w:t>Review the resolution, confirm or reopen, and share feedback if prompted.</w:t>
            </w:r>
          </w:p>
        </w:tc>
      </w:tr>
      <w:tr>
        <w:tc>
          <w:tcPr>
            <w:tcW w:type="dxa" w:w="1728"/>
            <w:vAlign w:val="top"/>
            <w:shd w:fill="7651A8"/>
            <w:tcMar>
              <w:top w:w="85" w:type="dxa"/>
              <w:start w:w="95" w:type="dxa"/>
              <w:bottom w:w="85" w:type="dxa"/>
              <w:end w:w="95" w:type="dxa"/>
            </w:tcMar>
          </w:tcPr>
          <w:p>
            <w:pPr>
              <w:spacing w:after="40" w:line="240" w:lineRule="auto"/>
            </w:pPr>
            <w:r/>
            <w:r>
              <w:rPr>
                <w:rFonts w:ascii="Arial" w:hAnsi="Arial"/>
                <w:b/>
                <w:color w:val="FFFFFF"/>
                <w:sz w:val="15"/>
              </w:rPr>
              <w:t>TOUCHPOINTS</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Service portal, email, chat, device or colleague.</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Portal form, email intake, chat or phone-assisted entry.</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Ticket form, queue list, category guidance and Flow Designer automation.</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Agent workspace, notes, notifications, collaboration tools.</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Resolution notification, portal history, survey or service desk contact.</w:t>
            </w:r>
          </w:p>
        </w:tc>
      </w:tr>
      <w:tr>
        <w:tc>
          <w:tcPr>
            <w:tcW w:type="dxa" w:w="1728"/>
            <w:vAlign w:val="top"/>
            <w:shd w:fill="7651A8"/>
            <w:tcMar>
              <w:top w:w="85" w:type="dxa"/>
              <w:start w:w="95" w:type="dxa"/>
              <w:bottom w:w="85" w:type="dxa"/>
              <w:end w:w="95" w:type="dxa"/>
            </w:tcMar>
          </w:tcPr>
          <w:p>
            <w:pPr>
              <w:spacing w:after="40" w:line="240" w:lineRule="auto"/>
            </w:pPr>
            <w:r/>
            <w:r>
              <w:rPr>
                <w:rFonts w:ascii="Arial" w:hAnsi="Arial"/>
                <w:b/>
                <w:color w:val="FFFFFF"/>
                <w:sz w:val="15"/>
              </w:rPr>
              <w:t>PEOPLE</w:t>
            </w:r>
          </w:p>
        </w:tc>
        <w:tc>
          <w:tcPr>
            <w:tcW w:type="dxa" w:w="4003"/>
            <w:vAlign w:val="top"/>
            <w:shd w:fill="FAF7FC"/>
            <w:tcMar>
              <w:top w:w="85" w:type="dxa"/>
              <w:start w:w="95" w:type="dxa"/>
              <w:bottom w:w="85" w:type="dxa"/>
              <w:end w:w="95" w:type="dxa"/>
            </w:tcMar>
          </w:tcPr>
          <w:p>
            <w:pPr>
              <w:spacing w:after="40" w:line="240" w:lineRule="auto"/>
            </w:pPr>
            <w:r/>
            <w:r>
              <w:rPr>
                <w:rFonts w:ascii="Arial" w:hAnsi="Arial"/>
                <w:b w:val="0"/>
                <w:color w:val="302A36"/>
                <w:sz w:val="15"/>
              </w:rPr>
              <w:t>Requester; colleague or manager may advise.</w:t>
            </w:r>
          </w:p>
        </w:tc>
        <w:tc>
          <w:tcPr>
            <w:tcW w:type="dxa" w:w="4003"/>
            <w:vAlign w:val="top"/>
            <w:shd w:fill="FAF7FC"/>
            <w:tcMar>
              <w:top w:w="85" w:type="dxa"/>
              <w:start w:w="95" w:type="dxa"/>
              <w:bottom w:w="85" w:type="dxa"/>
              <w:end w:w="95" w:type="dxa"/>
            </w:tcMar>
          </w:tcPr>
          <w:p>
            <w:pPr>
              <w:spacing w:after="40" w:line="240" w:lineRule="auto"/>
            </w:pPr>
            <w:r/>
            <w:r>
              <w:rPr>
                <w:rFonts w:ascii="Arial" w:hAnsi="Arial"/>
                <w:b w:val="0"/>
                <w:color w:val="302A36"/>
                <w:sz w:val="15"/>
              </w:rPr>
              <w:t>Requester and service desk intake team.</w:t>
            </w:r>
          </w:p>
        </w:tc>
        <w:tc>
          <w:tcPr>
            <w:tcW w:type="dxa" w:w="4003"/>
            <w:vAlign w:val="top"/>
            <w:shd w:fill="FAF7FC"/>
            <w:tcMar>
              <w:top w:w="85" w:type="dxa"/>
              <w:start w:w="95" w:type="dxa"/>
              <w:bottom w:w="85" w:type="dxa"/>
              <w:end w:w="95" w:type="dxa"/>
            </w:tcMar>
          </w:tcPr>
          <w:p>
            <w:pPr>
              <w:spacing w:after="40" w:line="240" w:lineRule="auto"/>
            </w:pPr>
            <w:r/>
            <w:r>
              <w:rPr>
                <w:rFonts w:ascii="Arial" w:hAnsi="Arial"/>
                <w:b w:val="0"/>
                <w:color w:val="302A36"/>
                <w:sz w:val="15"/>
              </w:rPr>
              <w:t>Triage agent; receiving support group; automation owner.</w:t>
            </w:r>
          </w:p>
        </w:tc>
        <w:tc>
          <w:tcPr>
            <w:tcW w:type="dxa" w:w="4003"/>
            <w:vAlign w:val="top"/>
            <w:shd w:fill="FAF7FC"/>
            <w:tcMar>
              <w:top w:w="85" w:type="dxa"/>
              <w:start w:w="95" w:type="dxa"/>
              <w:bottom w:w="85" w:type="dxa"/>
              <w:end w:w="95" w:type="dxa"/>
            </w:tcMar>
          </w:tcPr>
          <w:p>
            <w:pPr>
              <w:spacing w:after="40" w:line="240" w:lineRule="auto"/>
            </w:pPr>
            <w:r/>
            <w:r>
              <w:rPr>
                <w:rFonts w:ascii="Arial" w:hAnsi="Arial"/>
                <w:b w:val="0"/>
                <w:color w:val="302A36"/>
                <w:sz w:val="15"/>
              </w:rPr>
              <w:t>Assigned agent, specialists, requester and other support teams.</w:t>
            </w:r>
          </w:p>
        </w:tc>
        <w:tc>
          <w:tcPr>
            <w:tcW w:type="dxa" w:w="4003"/>
            <w:vAlign w:val="top"/>
            <w:shd w:fill="FAF7FC"/>
            <w:tcMar>
              <w:top w:w="85" w:type="dxa"/>
              <w:start w:w="95" w:type="dxa"/>
              <w:bottom w:w="85" w:type="dxa"/>
              <w:end w:w="95" w:type="dxa"/>
            </w:tcMar>
          </w:tcPr>
          <w:p>
            <w:pPr>
              <w:spacing w:after="40" w:line="240" w:lineRule="auto"/>
            </w:pPr>
            <w:r/>
            <w:r>
              <w:rPr>
                <w:rFonts w:ascii="Arial" w:hAnsi="Arial"/>
                <w:b w:val="0"/>
                <w:color w:val="302A36"/>
                <w:sz w:val="15"/>
              </w:rPr>
              <w:t>Requester and resolving agent; service owner may review trends.</w:t>
            </w:r>
          </w:p>
        </w:tc>
      </w:tr>
      <w:tr>
        <w:tc>
          <w:tcPr>
            <w:tcW w:type="dxa" w:w="1728"/>
            <w:vAlign w:val="top"/>
            <w:shd w:fill="7651A8"/>
            <w:tcMar>
              <w:top w:w="85" w:type="dxa"/>
              <w:start w:w="95" w:type="dxa"/>
              <w:bottom w:w="85" w:type="dxa"/>
              <w:end w:w="95" w:type="dxa"/>
            </w:tcMar>
          </w:tcPr>
          <w:p>
            <w:pPr>
              <w:spacing w:after="40" w:line="240" w:lineRule="auto"/>
            </w:pPr>
            <w:r/>
            <w:r>
              <w:rPr>
                <w:rFonts w:ascii="Arial" w:hAnsi="Arial"/>
                <w:b/>
                <w:color w:val="FFFFFF"/>
                <w:sz w:val="15"/>
              </w:rPr>
              <w:t>GOALS</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Get help with as little effort as possible.</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Explain the issue clearly and know the request was received.</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Reach the right team quickly with an accurate classification.</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Get useful progress updates and a working solution.</w:t>
            </w:r>
          </w:p>
        </w:tc>
        <w:tc>
          <w:tcPr>
            <w:tcW w:type="dxa" w:w="4003"/>
            <w:vAlign w:val="top"/>
            <w:shd w:fill="FFFFFF"/>
            <w:tcMar>
              <w:top w:w="85" w:type="dxa"/>
              <w:start w:w="95" w:type="dxa"/>
              <w:bottom w:w="85" w:type="dxa"/>
              <w:end w:w="95" w:type="dxa"/>
            </w:tcMar>
          </w:tcPr>
          <w:p>
            <w:pPr>
              <w:spacing w:after="40" w:line="240" w:lineRule="auto"/>
            </w:pPr>
            <w:r/>
            <w:r>
              <w:rPr>
                <w:rFonts w:ascii="Arial" w:hAnsi="Arial"/>
                <w:b w:val="0"/>
                <w:color w:val="302A36"/>
                <w:sz w:val="15"/>
              </w:rPr>
              <w:t>Understand what was fixed and avoid repeating the effort.</w:t>
            </w:r>
          </w:p>
        </w:tc>
      </w:tr>
      <w:tr>
        <w:tc>
          <w:tcPr>
            <w:tcW w:type="dxa" w:w="1728"/>
            <w:vAlign w:val="top"/>
            <w:shd w:fill="7651A8"/>
            <w:tcMar>
              <w:top w:w="85" w:type="dxa"/>
              <w:start w:w="95" w:type="dxa"/>
              <w:bottom w:w="85" w:type="dxa"/>
              <w:end w:w="95" w:type="dxa"/>
            </w:tcMar>
          </w:tcPr>
          <w:p>
            <w:pPr>
              <w:spacing w:after="40" w:line="240" w:lineRule="auto"/>
            </w:pPr>
            <w:r/>
            <w:r>
              <w:rPr>
                <w:rFonts w:ascii="Arial" w:hAnsi="Arial"/>
                <w:b/>
                <w:color w:val="FFFFFF"/>
                <w:sz w:val="15"/>
              </w:rPr>
              <w:t>POSITIVE MOMENTS</w:t>
            </w:r>
          </w:p>
        </w:tc>
        <w:tc>
          <w:tcPr>
            <w:tcW w:type="dxa" w:w="4003"/>
            <w:vAlign w:val="top"/>
            <w:shd w:fill="F3E9F8"/>
            <w:tcMar>
              <w:top w:w="85" w:type="dxa"/>
              <w:start w:w="95" w:type="dxa"/>
              <w:bottom w:w="85" w:type="dxa"/>
              <w:end w:w="95" w:type="dxa"/>
            </w:tcMar>
          </w:tcPr>
          <w:p>
            <w:pPr>
              <w:spacing w:after="40" w:line="240" w:lineRule="auto"/>
            </w:pPr>
            <w:r/>
            <w:r>
              <w:rPr>
                <w:rFonts w:ascii="Arial" w:hAnsi="Arial"/>
                <w:b w:val="0"/>
                <w:color w:val="302A36"/>
                <w:sz w:val="15"/>
              </w:rPr>
              <w:t>Clear guidance helps identify the right support channel.</w:t>
            </w:r>
          </w:p>
        </w:tc>
        <w:tc>
          <w:tcPr>
            <w:tcW w:type="dxa" w:w="4003"/>
            <w:vAlign w:val="top"/>
            <w:shd w:fill="F3E9F8"/>
            <w:tcMar>
              <w:top w:w="85" w:type="dxa"/>
              <w:start w:w="95" w:type="dxa"/>
              <w:bottom w:w="85" w:type="dxa"/>
              <w:end w:w="95" w:type="dxa"/>
            </w:tcMar>
          </w:tcPr>
          <w:p>
            <w:pPr>
              <w:spacing w:after="40" w:line="240" w:lineRule="auto"/>
            </w:pPr>
            <w:r/>
            <w:r>
              <w:rPr>
                <w:rFonts w:ascii="Arial" w:hAnsi="Arial"/>
                <w:b w:val="0"/>
                <w:color w:val="302A36"/>
                <w:sz w:val="15"/>
              </w:rPr>
              <w:t>Form is quick, accessible and confirms receipt.</w:t>
            </w:r>
          </w:p>
        </w:tc>
        <w:tc>
          <w:tcPr>
            <w:tcW w:type="dxa" w:w="4003"/>
            <w:vAlign w:val="top"/>
            <w:shd w:fill="F3E9F8"/>
            <w:tcMar>
              <w:top w:w="85" w:type="dxa"/>
              <w:start w:w="95" w:type="dxa"/>
              <w:bottom w:w="85" w:type="dxa"/>
              <w:end w:w="95" w:type="dxa"/>
            </w:tcMar>
          </w:tcPr>
          <w:p>
            <w:pPr>
              <w:spacing w:after="40" w:line="240" w:lineRule="auto"/>
            </w:pPr>
            <w:r/>
            <w:r>
              <w:rPr>
                <w:rFonts w:ascii="Arial" w:hAnsi="Arial"/>
                <w:b w:val="0"/>
                <w:color w:val="302A36"/>
                <w:sz w:val="15"/>
              </w:rPr>
              <w:t>Ticket arrives with a useful suggested category and destination.</w:t>
            </w:r>
          </w:p>
        </w:tc>
        <w:tc>
          <w:tcPr>
            <w:tcW w:type="dxa" w:w="4003"/>
            <w:vAlign w:val="top"/>
            <w:shd w:fill="F3E9F8"/>
            <w:tcMar>
              <w:top w:w="85" w:type="dxa"/>
              <w:start w:w="95" w:type="dxa"/>
              <w:bottom w:w="85" w:type="dxa"/>
              <w:end w:w="95" w:type="dxa"/>
            </w:tcMar>
          </w:tcPr>
          <w:p>
            <w:pPr>
              <w:spacing w:after="40" w:line="240" w:lineRule="auto"/>
            </w:pPr>
            <w:r/>
            <w:r>
              <w:rPr>
                <w:rFonts w:ascii="Arial" w:hAnsi="Arial"/>
                <w:b w:val="0"/>
                <w:color w:val="302A36"/>
                <w:sz w:val="15"/>
              </w:rPr>
              <w:t>Agent takes ownership and communicates in plain language.</w:t>
            </w:r>
          </w:p>
        </w:tc>
        <w:tc>
          <w:tcPr>
            <w:tcW w:type="dxa" w:w="4003"/>
            <w:vAlign w:val="top"/>
            <w:shd w:fill="F3E9F8"/>
            <w:tcMar>
              <w:top w:w="85" w:type="dxa"/>
              <w:start w:w="95" w:type="dxa"/>
              <w:bottom w:w="85" w:type="dxa"/>
              <w:end w:w="95" w:type="dxa"/>
            </w:tcMar>
          </w:tcPr>
          <w:p>
            <w:pPr>
              <w:spacing w:after="40" w:line="240" w:lineRule="auto"/>
            </w:pPr>
            <w:r/>
            <w:r>
              <w:rPr>
                <w:rFonts w:ascii="Arial" w:hAnsi="Arial"/>
                <w:b w:val="0"/>
                <w:color w:val="302A36"/>
                <w:sz w:val="15"/>
              </w:rPr>
              <w:t>Resolution works; closure is clear and feedback is easy to provide.</w:t>
            </w:r>
          </w:p>
        </w:tc>
      </w:tr>
      <w:tr>
        <w:tc>
          <w:tcPr>
            <w:tcW w:type="dxa" w:w="1728"/>
            <w:vAlign w:val="top"/>
            <w:shd w:fill="7651A8"/>
            <w:tcMar>
              <w:top w:w="85" w:type="dxa"/>
              <w:start w:w="95" w:type="dxa"/>
              <w:bottom w:w="85" w:type="dxa"/>
              <w:end w:w="95" w:type="dxa"/>
            </w:tcMar>
          </w:tcPr>
          <w:p>
            <w:pPr>
              <w:spacing w:after="40" w:line="240" w:lineRule="auto"/>
            </w:pPr>
            <w:r/>
            <w:r>
              <w:rPr>
                <w:rFonts w:ascii="Arial" w:hAnsi="Arial"/>
                <w:b/>
                <w:color w:val="FFFFFF"/>
                <w:sz w:val="15"/>
              </w:rPr>
              <w:t>FRICTION / EMOTION</w:t>
            </w:r>
          </w:p>
        </w:tc>
        <w:tc>
          <w:tcPr>
            <w:tcW w:type="dxa" w:w="4003"/>
            <w:vAlign w:val="top"/>
            <w:shd w:fill="F8E2D7"/>
            <w:tcMar>
              <w:top w:w="85" w:type="dxa"/>
              <w:start w:w="95" w:type="dxa"/>
              <w:bottom w:w="85" w:type="dxa"/>
              <w:end w:w="95" w:type="dxa"/>
            </w:tcMar>
          </w:tcPr>
          <w:p>
            <w:pPr>
              <w:spacing w:after="40" w:line="240" w:lineRule="auto"/>
            </w:pPr>
            <w:r/>
            <w:r>
              <w:rPr>
                <w:rFonts w:ascii="Arial" w:hAnsi="Arial"/>
                <w:b w:val="0"/>
                <w:color w:val="302A36"/>
                <w:sz w:val="15"/>
              </w:rPr>
              <w:t>Unsure where to go; concern about service impact.</w:t>
            </w:r>
          </w:p>
        </w:tc>
        <w:tc>
          <w:tcPr>
            <w:tcW w:type="dxa" w:w="4003"/>
            <w:vAlign w:val="top"/>
            <w:shd w:fill="F8E2D7"/>
            <w:tcMar>
              <w:top w:w="85" w:type="dxa"/>
              <w:start w:w="95" w:type="dxa"/>
              <w:bottom w:w="85" w:type="dxa"/>
              <w:end w:w="95" w:type="dxa"/>
            </w:tcMar>
          </w:tcPr>
          <w:p>
            <w:pPr>
              <w:spacing w:after="40" w:line="240" w:lineRule="auto"/>
            </w:pPr>
            <w:r/>
            <w:r>
              <w:rPr>
                <w:rFonts w:ascii="Arial" w:hAnsi="Arial"/>
                <w:b w:val="0"/>
                <w:color w:val="302A36"/>
                <w:sz w:val="15"/>
              </w:rPr>
              <w:t>Form asks for unfamiliar terms or repetitive information.</w:t>
            </w:r>
          </w:p>
        </w:tc>
        <w:tc>
          <w:tcPr>
            <w:tcW w:type="dxa" w:w="4003"/>
            <w:vAlign w:val="top"/>
            <w:shd w:fill="F8E2D7"/>
            <w:tcMar>
              <w:top w:w="85" w:type="dxa"/>
              <w:start w:w="95" w:type="dxa"/>
              <w:bottom w:w="85" w:type="dxa"/>
              <w:end w:w="95" w:type="dxa"/>
            </w:tcMar>
          </w:tcPr>
          <w:p>
            <w:pPr>
              <w:spacing w:after="40" w:line="240" w:lineRule="auto"/>
            </w:pPr>
            <w:r/>
            <w:r>
              <w:rPr>
                <w:rFonts w:ascii="Arial" w:hAnsi="Arial"/>
                <w:b w:val="0"/>
                <w:color w:val="302A36"/>
                <w:sz w:val="15"/>
              </w:rPr>
              <w:t>Misclassification or ambiguous descriptions cause delay and reassignment.</w:t>
            </w:r>
          </w:p>
        </w:tc>
        <w:tc>
          <w:tcPr>
            <w:tcW w:type="dxa" w:w="4003"/>
            <w:vAlign w:val="top"/>
            <w:shd w:fill="F8E2D7"/>
            <w:tcMar>
              <w:top w:w="85" w:type="dxa"/>
              <w:start w:w="95" w:type="dxa"/>
              <w:bottom w:w="85" w:type="dxa"/>
              <w:end w:w="95" w:type="dxa"/>
            </w:tcMar>
          </w:tcPr>
          <w:p>
            <w:pPr>
              <w:spacing w:after="40" w:line="240" w:lineRule="auto"/>
            </w:pPr>
            <w:r/>
            <w:r>
              <w:rPr>
                <w:rFonts w:ascii="Arial" w:hAnsi="Arial"/>
                <w:b w:val="0"/>
                <w:color w:val="302A36"/>
                <w:sz w:val="15"/>
              </w:rPr>
              <w:t>Silence, repeated questions or handoffs reduce confidence.</w:t>
            </w:r>
          </w:p>
        </w:tc>
        <w:tc>
          <w:tcPr>
            <w:tcW w:type="dxa" w:w="4003"/>
            <w:vAlign w:val="top"/>
            <w:shd w:fill="F8E2D7"/>
            <w:tcMar>
              <w:top w:w="85" w:type="dxa"/>
              <w:start w:w="95" w:type="dxa"/>
              <w:bottom w:w="85" w:type="dxa"/>
              <w:end w:w="95" w:type="dxa"/>
            </w:tcMar>
          </w:tcPr>
          <w:p>
            <w:pPr>
              <w:spacing w:after="40" w:line="240" w:lineRule="auto"/>
            </w:pPr>
            <w:r/>
            <w:r>
              <w:rPr>
                <w:rFonts w:ascii="Arial" w:hAnsi="Arial"/>
                <w:b w:val="0"/>
                <w:color w:val="302A36"/>
                <w:sz w:val="15"/>
              </w:rPr>
              <w:t>Unclear closure or recurrence leaves the requester uncertain.</w:t>
            </w:r>
          </w:p>
        </w:tc>
      </w:tr>
      <w:tr>
        <w:tc>
          <w:tcPr>
            <w:tcW w:type="dxa" w:w="1728"/>
            <w:vAlign w:val="top"/>
            <w:shd w:fill="7651A8"/>
            <w:tcMar>
              <w:top w:w="85" w:type="dxa"/>
              <w:start w:w="95" w:type="dxa"/>
              <w:bottom w:w="85" w:type="dxa"/>
              <w:end w:w="95" w:type="dxa"/>
            </w:tcMar>
          </w:tcPr>
          <w:p>
            <w:pPr>
              <w:spacing w:after="40" w:line="240" w:lineRule="auto"/>
            </w:pPr>
            <w:r/>
            <w:r>
              <w:rPr>
                <w:rFonts w:ascii="Arial" w:hAnsi="Arial"/>
                <w:b/>
                <w:color w:val="FFFFFF"/>
                <w:sz w:val="15"/>
              </w:rPr>
              <w:t>OPPORTUNITIES</w:t>
            </w:r>
          </w:p>
        </w:tc>
        <w:tc>
          <w:tcPr>
            <w:tcW w:type="dxa" w:w="4003"/>
            <w:vAlign w:val="top"/>
            <w:shd w:fill="FCE8C8"/>
            <w:tcMar>
              <w:top w:w="85" w:type="dxa"/>
              <w:start w:w="95" w:type="dxa"/>
              <w:bottom w:w="85" w:type="dxa"/>
              <w:end w:w="95" w:type="dxa"/>
            </w:tcMar>
          </w:tcPr>
          <w:p>
            <w:pPr>
              <w:spacing w:after="40" w:line="240" w:lineRule="auto"/>
            </w:pPr>
            <w:r/>
            <w:r>
              <w:rPr>
                <w:rFonts w:ascii="Arial" w:hAnsi="Arial"/>
                <w:b w:val="0"/>
                <w:color w:val="302A36"/>
                <w:sz w:val="15"/>
              </w:rPr>
              <w:t>Show a simple “where to get help” entry point.</w:t>
            </w:r>
          </w:p>
        </w:tc>
        <w:tc>
          <w:tcPr>
            <w:tcW w:type="dxa" w:w="4003"/>
            <w:vAlign w:val="top"/>
            <w:shd w:fill="FCE8C8"/>
            <w:tcMar>
              <w:top w:w="85" w:type="dxa"/>
              <w:start w:w="95" w:type="dxa"/>
              <w:bottom w:w="85" w:type="dxa"/>
              <w:end w:w="95" w:type="dxa"/>
            </w:tcMar>
          </w:tcPr>
          <w:p>
            <w:pPr>
              <w:spacing w:after="40" w:line="240" w:lineRule="auto"/>
            </w:pPr>
            <w:r/>
            <w:r>
              <w:rPr>
                <w:rFonts w:ascii="Arial" w:hAnsi="Arial"/>
                <w:b w:val="0"/>
                <w:color w:val="302A36"/>
                <w:sz w:val="15"/>
              </w:rPr>
              <w:t>Use plain labels, required-field guidance and channel-aware intake.</w:t>
            </w:r>
          </w:p>
        </w:tc>
        <w:tc>
          <w:tcPr>
            <w:tcW w:type="dxa" w:w="4003"/>
            <w:vAlign w:val="top"/>
            <w:shd w:fill="FCE8C8"/>
            <w:tcMar>
              <w:top w:w="85" w:type="dxa"/>
              <w:start w:w="95" w:type="dxa"/>
              <w:bottom w:w="85" w:type="dxa"/>
              <w:end w:w="95" w:type="dxa"/>
            </w:tcMar>
          </w:tcPr>
          <w:p>
            <w:pPr>
              <w:spacing w:after="40" w:line="240" w:lineRule="auto"/>
            </w:pPr>
            <w:r/>
            <w:r>
              <w:rPr>
                <w:rFonts w:ascii="Arial" w:hAnsi="Arial"/>
                <w:b w:val="0"/>
                <w:color w:val="302A36"/>
                <w:sz w:val="15"/>
              </w:rPr>
              <w:t>Use transparent Flow Designer rules or an approved classifier; show rationale, preserve agent override, and send uncertain cases to triage.</w:t>
            </w:r>
          </w:p>
        </w:tc>
        <w:tc>
          <w:tcPr>
            <w:tcW w:type="dxa" w:w="4003"/>
            <w:vAlign w:val="top"/>
            <w:shd w:fill="FCE8C8"/>
            <w:tcMar>
              <w:top w:w="85" w:type="dxa"/>
              <w:start w:w="95" w:type="dxa"/>
              <w:bottom w:w="85" w:type="dxa"/>
              <w:end w:w="95" w:type="dxa"/>
            </w:tcMar>
          </w:tcPr>
          <w:p>
            <w:pPr>
              <w:spacing w:after="40" w:line="240" w:lineRule="auto"/>
            </w:pPr>
            <w:r/>
            <w:r>
              <w:rPr>
                <w:rFonts w:ascii="Arial" w:hAnsi="Arial"/>
                <w:b w:val="0"/>
                <w:color w:val="302A36"/>
                <w:sz w:val="15"/>
              </w:rPr>
              <w:t>Set update expectations, capture context once, and make ownership visible.</w:t>
            </w:r>
          </w:p>
        </w:tc>
        <w:tc>
          <w:tcPr>
            <w:tcW w:type="dxa" w:w="4003"/>
            <w:vAlign w:val="top"/>
            <w:shd w:fill="FCE8C8"/>
            <w:tcMar>
              <w:top w:w="85" w:type="dxa"/>
              <w:start w:w="95" w:type="dxa"/>
              <w:bottom w:w="85" w:type="dxa"/>
              <w:end w:w="95" w:type="dxa"/>
            </w:tcMar>
          </w:tcPr>
          <w:p>
            <w:pPr>
              <w:spacing w:after="40" w:line="240" w:lineRule="auto"/>
            </w:pPr>
            <w:r/>
            <w:r>
              <w:rPr>
                <w:rFonts w:ascii="Arial" w:hAnsi="Arial"/>
                <w:b w:val="0"/>
                <w:color w:val="302A36"/>
                <w:sz w:val="15"/>
              </w:rPr>
              <w:t>Provide a concise resolution summary, simple reopen path, and optional feedback.</w:t>
            </w:r>
          </w:p>
        </w:tc>
      </w:tr>
    </w:tbl>
    <w:p>
      <w:pPr>
        <w:spacing w:before="100"/>
      </w:pPr>
      <w:r>
        <w:rPr>
          <w:b/>
        </w:rPr>
        <w:t xml:space="preserve">Success measures to baseline: </w:t>
      </w:r>
      <w:r>
        <w:t>correct first assignment, time from submission to assignment, reassignment rate, time to first meaningful update, resolution time, and requester satisfaction. Set targets after reviewing current ticket data.</w:t>
      </w:r>
    </w:p>
    <w:sectPr w:rsidR="00FC693F" w:rsidRPr="0006063C" w:rsidSect="00034616">
      <w:footerReference w:type="default" r:id="rId9"/>
      <w:headerReference w:type="default" r:id="rId10"/>
      <w:pgSz w:w="23818" w:h="16834" w:orient="landscape"/>
      <w:pgMar w:top="691"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D6473"/>
        <w:sz w:val="14"/>
      </w:rPr>
      <w:t>IDEATION PHASE  |  CUSTOMER JOURNEY MAP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color w:val="302A36"/>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3D2A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Journey Map - Auto Ticket Classification Using Flow Designer</dc:title>
  <dc:subject>Customer journey map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