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18A20"/>
        </w:rPr>
        <w:t>PROJECT DESIGN PHASE II  /  SOLUTION DESIGN</w:t>
      </w:r>
    </w:p>
    <w:p>
      <w:pPr>
        <w:pStyle w:val="Title"/>
      </w:pPr>
      <w:r>
        <w:t>Solution Requirements</w:t>
      </w:r>
    </w:p>
    <w:p>
      <w:pPr>
        <w:spacing w:after="120"/>
      </w:pPr>
      <w:r>
        <w:rPr>
          <w:color w:val="6D6473"/>
        </w:rPr>
        <w:t>Project Title: Auto Ticket Classification Using Flow Designer  |  Date: 3 October 2026  |  Team ID: 6abab5f0ad6b12298106a12a</w:t>
      </w:r>
    </w:p>
    <w:p>
      <w:pPr>
        <w:pStyle w:val="Heading2"/>
      </w:pPr>
      <w:r>
        <w:t>Functional Requirements</w:t>
      </w:r>
    </w:p>
    <w:p>
      <w:r>
        <w:t>Proposed ticket classification and routing requirements. Validate scope and field names against the target ServiceNow instance.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6120"/>
        <w:gridCol w:w="936"/>
      </w:tblGrid>
      <w:tr>
        <w:trPr>
          <w:tblHeader w:val="true"/>
        </w:trPr>
        <w:tc>
          <w:tcPr>
            <w:tcW w:type="dxa" w:w="792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FR No.</w:t>
            </w:r>
          </w:p>
        </w:tc>
        <w:tc>
          <w:tcPr>
            <w:tcW w:type="dxa" w:w="1800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Requirement (Epic)</w:t>
            </w:r>
          </w:p>
        </w:tc>
        <w:tc>
          <w:tcPr>
            <w:tcW w:type="dxa" w:w="6120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Sub-requirement (Story / Task)</w:t>
            </w:r>
          </w:p>
        </w:tc>
        <w:tc>
          <w:tcPr>
            <w:tcW w:type="dxa" w:w="936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FR-1</w:t>
            </w:r>
          </w:p>
        </w:tc>
        <w:tc>
          <w:tcPr>
            <w:tcW w:type="dxa" w:w="180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intake</w:t>
            </w:r>
          </w:p>
        </w:tc>
        <w:tc>
          <w:tcPr>
            <w:tcW w:type="dxa" w:w="612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Accept in-scope tickets from approved channels and retain the original requester-entered content.</w:t>
            </w:r>
          </w:p>
        </w:tc>
        <w:tc>
          <w:tcPr>
            <w:tcW w:type="dxa" w:w="93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FR-2</w:t>
            </w:r>
          </w:p>
        </w:tc>
        <w:tc>
          <w:tcPr>
            <w:tcW w:type="dxa" w:w="180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Input validation</w:t>
            </w:r>
          </w:p>
        </w:tc>
        <w:tc>
          <w:tcPr>
            <w:tcW w:type="dxa" w:w="612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Check required fields and identify records that cannot be classified safely.</w:t>
            </w:r>
          </w:p>
        </w:tc>
        <w:tc>
          <w:tcPr>
            <w:tcW w:type="dxa" w:w="93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FR-3</w:t>
            </w:r>
          </w:p>
        </w:tc>
        <w:tc>
          <w:tcPr>
            <w:tcW w:type="dxa" w:w="180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Classification</w:t>
            </w:r>
          </w:p>
        </w:tc>
        <w:tc>
          <w:tcPr>
            <w:tcW w:type="dxa" w:w="612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Assign a category and subcategory using approved deterministic rules; allow an approved prediction capability only after validation.</w:t>
            </w:r>
          </w:p>
        </w:tc>
        <w:tc>
          <w:tcPr>
            <w:tcW w:type="dxa" w:w="93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FR-4</w:t>
            </w:r>
          </w:p>
        </w:tc>
        <w:tc>
          <w:tcPr>
            <w:tcW w:type="dxa" w:w="180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Assignment routing</w:t>
            </w:r>
          </w:p>
        </w:tc>
        <w:tc>
          <w:tcPr>
            <w:tcW w:type="dxa" w:w="612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Set the assignment group for eligible tickets using the approved mapping and routing policy.</w:t>
            </w:r>
          </w:p>
        </w:tc>
        <w:tc>
          <w:tcPr>
            <w:tcW w:type="dxa" w:w="93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FR-5</w:t>
            </w:r>
          </w:p>
        </w:tc>
        <w:tc>
          <w:tcPr>
            <w:tcW w:type="dxa" w:w="180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Fallback handling</w:t>
            </w:r>
          </w:p>
        </w:tc>
        <w:tc>
          <w:tcPr>
            <w:tcW w:type="dxa" w:w="612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Send unmatched, incomplete, or low-confidence tickets to the designated human triage queue.</w:t>
            </w:r>
          </w:p>
        </w:tc>
        <w:tc>
          <w:tcPr>
            <w:tcW w:type="dxa" w:w="93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FR-6</w:t>
            </w:r>
          </w:p>
        </w:tc>
        <w:tc>
          <w:tcPr>
            <w:tcW w:type="dxa" w:w="180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control</w:t>
            </w:r>
          </w:p>
        </w:tc>
        <w:tc>
          <w:tcPr>
            <w:tcW w:type="dxa" w:w="612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Allow authorized agents to accept or change category and assignment; preserve explicit agent decisions.</w:t>
            </w:r>
          </w:p>
        </w:tc>
        <w:tc>
          <w:tcPr>
            <w:tcW w:type="dxa" w:w="93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FR-7</w:t>
            </w:r>
          </w:p>
        </w:tc>
        <w:tc>
          <w:tcPr>
            <w:tcW w:type="dxa" w:w="180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Auditability</w:t>
            </w:r>
          </w:p>
        </w:tc>
        <w:tc>
          <w:tcPr>
            <w:tcW w:type="dxa" w:w="612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Record classification result, flow/rule/model version, timestamp, and subsequent agent correction as permitted by policy.</w:t>
            </w:r>
          </w:p>
        </w:tc>
        <w:tc>
          <w:tcPr>
            <w:tcW w:type="dxa" w:w="93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FR-8</w:t>
            </w:r>
          </w:p>
        </w:tc>
        <w:tc>
          <w:tcPr>
            <w:tcW w:type="dxa" w:w="180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Notifications</w:t>
            </w:r>
          </w:p>
        </w:tc>
        <w:tc>
          <w:tcPr>
            <w:tcW w:type="dxa" w:w="612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Confirm ticket receipt and route status updates through existing notification channels and policies.</w:t>
            </w:r>
          </w:p>
        </w:tc>
        <w:tc>
          <w:tcPr>
            <w:tcW w:type="dxa" w:w="93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Medium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FR-9</w:t>
            </w:r>
          </w:p>
        </w:tc>
        <w:tc>
          <w:tcPr>
            <w:tcW w:type="dxa" w:w="180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Reporting</w:t>
            </w:r>
          </w:p>
        </w:tc>
        <w:tc>
          <w:tcPr>
            <w:tcW w:type="dxa" w:w="612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Provide measures for accuracy, time to assignment, reassignment, override, fallback, and flow error rates.</w:t>
            </w:r>
          </w:p>
        </w:tc>
        <w:tc>
          <w:tcPr>
            <w:tcW w:type="dxa" w:w="93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Medium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FR-10</w:t>
            </w:r>
          </w:p>
        </w:tc>
        <w:tc>
          <w:tcPr>
            <w:tcW w:type="dxa" w:w="180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Administration</w:t>
            </w:r>
          </w:p>
        </w:tc>
        <w:tc>
          <w:tcPr>
            <w:tcW w:type="dxa" w:w="612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Restrict configuration changes to authorized administrators and use the approved change/release process.</w:t>
            </w:r>
          </w:p>
        </w:tc>
        <w:tc>
          <w:tcPr>
            <w:tcW w:type="dxa" w:w="93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440"/>
        <w:gridCol w:w="3528"/>
        <w:gridCol w:w="3888"/>
      </w:tblGrid>
      <w:tr>
        <w:trPr>
          <w:tblHeader w:val="true"/>
        </w:trPr>
        <w:tc>
          <w:tcPr>
            <w:tcW w:type="dxa" w:w="792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NFR No.</w:t>
            </w:r>
          </w:p>
        </w:tc>
        <w:tc>
          <w:tcPr>
            <w:tcW w:type="dxa" w:w="1440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28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3888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Acceptance / measure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NFR-1</w:t>
            </w:r>
          </w:p>
        </w:tc>
        <w:tc>
          <w:tcPr>
            <w:tcW w:type="dxa" w:w="144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Usability</w:t>
            </w:r>
          </w:p>
        </w:tc>
        <w:tc>
          <w:tcPr>
            <w:tcW w:type="dxa" w:w="352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Suggested classification and reason are easy for agents to review; correction is clear and quick.</w:t>
            </w:r>
          </w:p>
        </w:tc>
        <w:tc>
          <w:tcPr>
            <w:tcW w:type="dxa" w:w="388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Usability review with representative agents; measure task completion and override feedback.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NFR-2</w:t>
            </w:r>
          </w:p>
        </w:tc>
        <w:tc>
          <w:tcPr>
            <w:tcW w:type="dxa" w:w="144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Security</w:t>
            </w:r>
          </w:p>
        </w:tc>
        <w:tc>
          <w:tcPr>
            <w:tcW w:type="dxa" w:w="352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 least-privilege roles; protect ticket data in transit and at rest according to platform policy.</w:t>
            </w:r>
          </w:p>
        </w:tc>
        <w:tc>
          <w:tcPr>
            <w:tcW w:type="dxa" w:w="388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Security review confirms access, encryption configuration, and audit controls.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NFR-3</w:t>
            </w:r>
          </w:p>
        </w:tc>
        <w:tc>
          <w:tcPr>
            <w:tcW w:type="dxa" w:w="144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Reliability</w:t>
            </w:r>
          </w:p>
        </w:tc>
        <w:tc>
          <w:tcPr>
            <w:tcW w:type="dxa" w:w="352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 flow failure must not lose or duplicate a ticket; errors are logged and safely recoverable.</w:t>
            </w:r>
          </w:p>
        </w:tc>
        <w:tc>
          <w:tcPr>
            <w:tcW w:type="dxa" w:w="388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Failure-path tests demonstrate safe retry, idempotent processing, and fallback.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NFR-4</w:t>
            </w:r>
          </w:p>
        </w:tc>
        <w:tc>
          <w:tcPr>
            <w:tcW w:type="dxa" w:w="144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Performance</w:t>
            </w:r>
          </w:p>
        </w:tc>
        <w:tc>
          <w:tcPr>
            <w:tcW w:type="dxa" w:w="352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Classification and routing should complete within an agreed service target without delaying ticket creation.</w:t>
            </w:r>
          </w:p>
        </w:tc>
        <w:tc>
          <w:tcPr>
            <w:tcW w:type="dxa" w:w="388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Set target after baseline/load testing; report processing latency.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NFR-5</w:t>
            </w:r>
          </w:p>
        </w:tc>
        <w:tc>
          <w:tcPr>
            <w:tcW w:type="dxa" w:w="144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Availability</w:t>
            </w:r>
          </w:p>
        </w:tc>
        <w:tc>
          <w:tcPr>
            <w:tcW w:type="dxa" w:w="352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intake remains available under the agreed ServiceNow service level; automation failure does not block manual triage.</w:t>
            </w:r>
          </w:p>
        </w:tc>
        <w:tc>
          <w:tcPr>
            <w:tcW w:type="dxa" w:w="388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Confirm platform SLA and document manual fallback.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NFR-6</w:t>
            </w:r>
          </w:p>
        </w:tc>
        <w:tc>
          <w:tcPr>
            <w:tcW w:type="dxa" w:w="144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Scalability</w:t>
            </w:r>
          </w:p>
        </w:tc>
        <w:tc>
          <w:tcPr>
            <w:tcW w:type="dxa" w:w="352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design supports forecast ticket volume and controlled expansion to additional categories.</w:t>
            </w:r>
          </w:p>
        </w:tc>
        <w:tc>
          <w:tcPr>
            <w:tcW w:type="dxa" w:w="388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Validate throughput and limits with platform owner before scale-up.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NFR-7</w:t>
            </w:r>
          </w:p>
        </w:tc>
        <w:tc>
          <w:tcPr>
            <w:tcW w:type="dxa" w:w="144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Explainability</w:t>
            </w:r>
          </w:p>
        </w:tc>
        <w:tc>
          <w:tcPr>
            <w:tcW w:type="dxa" w:w="352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Agents can identify why a category/group was suggested where the selected mechanism supports it.</w:t>
            </w:r>
          </w:p>
        </w:tc>
        <w:tc>
          <w:tcPr>
            <w:tcW w:type="dxa" w:w="388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Review sample decisions; ensure rule/model version is auditable.</w:t>
            </w:r>
          </w:p>
        </w:tc>
      </w:tr>
      <w:tr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NFR-8</w:t>
            </w:r>
          </w:p>
        </w:tc>
        <w:tc>
          <w:tcPr>
            <w:tcW w:type="dxa" w:w="144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Maintainability</w:t>
            </w:r>
          </w:p>
        </w:tc>
        <w:tc>
          <w:tcPr>
            <w:tcW w:type="dxa" w:w="352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Rules, thresholds, and mappings have named owners and documented change control.</w:t>
            </w:r>
          </w:p>
        </w:tc>
        <w:tc>
          <w:tcPr>
            <w:tcW w:type="dxa" w:w="388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Configuration is versioned and deployable through approved environments.</w:t>
            </w:r>
          </w:p>
        </w:tc>
      </w:tr>
      <w:tr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NFR-9</w:t>
            </w:r>
          </w:p>
        </w:tc>
        <w:tc>
          <w:tcPr>
            <w:tcW w:type="dxa" w:w="144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Privacy</w:t>
            </w:r>
          </w:p>
        </w:tc>
        <w:tc>
          <w:tcPr>
            <w:tcW w:type="dxa" w:w="352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 only approved ticket data for classification and any model training; follow retention and access policy.</w:t>
            </w:r>
          </w:p>
        </w:tc>
        <w:tc>
          <w:tcPr>
            <w:tcW w:type="dxa" w:w="388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review and approval completed before model or external service use.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792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473"/>
        <w:sz w:val="14"/>
      </w:rPr>
      <w:t>PROJECT DESIGN PHASE II  |  AUTO TICKET CLASSIFICATION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- Auto Ticket Classification Using Flow Designer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