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color w:val="D18A20"/>
        </w:rPr>
        <w:t>PROJECT DESIGN PHASE II  /  SOLUTION DESIGN</w:t>
      </w:r>
    </w:p>
    <w:p>
      <w:pPr>
        <w:pStyle w:val="Title"/>
      </w:pPr>
      <w:r>
        <w:t>Technology Stack and Architecture</w:t>
      </w:r>
    </w:p>
    <w:p>
      <w:pPr>
        <w:spacing w:after="120"/>
      </w:pPr>
      <w:r>
        <w:rPr>
          <w:color w:val="6D6473"/>
        </w:rPr>
        <w:t>Project Title: Auto Ticket Classification Using Flow Designer  |  Date: 3 October 2026  |  Team ID: 6abab5f0ad6b12298106a12a</w:t>
      </w:r>
    </w:p>
    <w:p>
      <w:pPr>
        <w:pStyle w:val="Heading2"/>
      </w:pPr>
      <w:r>
        <w:t>Technical Architecture</w:t>
      </w:r>
    </w:p>
    <w:p>
      <w:r>
        <w:t>Proposed ServiceNow architecture. Confirm licensed features, instance configuration, integration options, and security standards before production selection.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60"/>
        <w:gridCol w:w="3024"/>
        <w:gridCol w:w="8064"/>
      </w:tblGrid>
      <w:tr>
        <w:trPr>
          <w:tblHeader w:val="true"/>
        </w:trPr>
        <w:tc>
          <w:tcPr>
            <w:tcW w:type="dxa" w:w="2160"/>
            <w:vAlign w:val="top"/>
            <w:shd w:fill="3D2A56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Component / flow</w:t>
            </w:r>
          </w:p>
        </w:tc>
        <w:tc>
          <w:tcPr>
            <w:tcW w:type="dxa" w:w="3024"/>
            <w:vAlign w:val="top"/>
            <w:shd w:fill="3D2A56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Purpose</w:t>
            </w:r>
          </w:p>
        </w:tc>
        <w:tc>
          <w:tcPr>
            <w:tcW w:type="dxa" w:w="8064"/>
            <w:vAlign w:val="top"/>
            <w:shd w:fill="3D2A56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Proposed technology</w:t>
            </w:r>
          </w:p>
        </w:tc>
      </w:tr>
      <w:tr>
        <w:tc>
          <w:tcPr>
            <w:tcW w:type="dxa" w:w="2160"/>
            <w:vAlign w:val="top"/>
            <w:shd w:fill="FFFFFF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Arial" w:hAnsi="Arial"/>
                <w:b w:val="0"/>
                <w:color w:val="302A36"/>
                <w:sz w:val="14"/>
              </w:rPr>
              <w:t>Requester / agent UI</w:t>
            </w:r>
          </w:p>
        </w:tc>
        <w:tc>
          <w:tcPr>
            <w:tcW w:type="dxa" w:w="3024"/>
            <w:vAlign w:val="top"/>
            <w:shd w:fill="FFFFFF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Arial" w:hAnsi="Arial"/>
                <w:b w:val="0"/>
                <w:color w:val="302A36"/>
                <w:sz w:val="14"/>
              </w:rPr>
              <w:t>Submit and manage tickets</w:t>
            </w:r>
          </w:p>
        </w:tc>
        <w:tc>
          <w:tcPr>
            <w:tcW w:type="dxa" w:w="8064"/>
            <w:vAlign w:val="top"/>
            <w:shd w:fill="FFFFFF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Arial" w:hAnsi="Arial"/>
                <w:b w:val="0"/>
                <w:color w:val="302A36"/>
                <w:sz w:val="14"/>
              </w:rPr>
              <w:t>Service Portal / Employee Center and Agent Workspace (confirm products available).</w:t>
            </w:r>
          </w:p>
        </w:tc>
      </w:tr>
      <w:tr>
        <w:tc>
          <w:tcPr>
            <w:tcW w:type="dxa" w:w="2160"/>
            <w:vAlign w:val="top"/>
            <w:shd w:fill="FAF7FC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Arial" w:hAnsi="Arial"/>
                <w:b w:val="0"/>
                <w:color w:val="302A36"/>
                <w:sz w:val="14"/>
              </w:rPr>
              <w:t>Ticket record</w:t>
            </w:r>
          </w:p>
        </w:tc>
        <w:tc>
          <w:tcPr>
            <w:tcW w:type="dxa" w:w="3024"/>
            <w:vAlign w:val="top"/>
            <w:shd w:fill="FAF7FC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Arial" w:hAnsi="Arial"/>
                <w:b w:val="0"/>
                <w:color w:val="302A36"/>
                <w:sz w:val="14"/>
              </w:rPr>
              <w:t>Store incident/request fields and state</w:t>
            </w:r>
          </w:p>
        </w:tc>
        <w:tc>
          <w:tcPr>
            <w:tcW w:type="dxa" w:w="8064"/>
            <w:vAlign w:val="top"/>
            <w:shd w:fill="FAF7FC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Arial" w:hAnsi="Arial"/>
                <w:b w:val="0"/>
                <w:color w:val="302A36"/>
                <w:sz w:val="14"/>
              </w:rPr>
              <w:t>ServiceNow platform data store; approved tables and fields.</w:t>
            </w:r>
          </w:p>
        </w:tc>
      </w:tr>
      <w:tr>
        <w:tc>
          <w:tcPr>
            <w:tcW w:type="dxa" w:w="2160"/>
            <w:vAlign w:val="top"/>
            <w:shd w:fill="FFFFFF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Arial" w:hAnsi="Arial"/>
                <w:b w:val="0"/>
                <w:color w:val="302A36"/>
                <w:sz w:val="14"/>
              </w:rPr>
              <w:t>Flow Designer</w:t>
            </w:r>
          </w:p>
        </w:tc>
        <w:tc>
          <w:tcPr>
            <w:tcW w:type="dxa" w:w="3024"/>
            <w:vAlign w:val="top"/>
            <w:shd w:fill="FFFFFF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Arial" w:hAnsi="Arial"/>
                <w:b w:val="0"/>
                <w:color w:val="302A36"/>
                <w:sz w:val="14"/>
              </w:rPr>
              <w:t>Trigger validation, classification, routing and error handling</w:t>
            </w:r>
          </w:p>
        </w:tc>
        <w:tc>
          <w:tcPr>
            <w:tcW w:type="dxa" w:w="8064"/>
            <w:vAlign w:val="top"/>
            <w:shd w:fill="FFFFFF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Arial" w:hAnsi="Arial"/>
                <w:b w:val="0"/>
                <w:color w:val="302A36"/>
                <w:sz w:val="14"/>
              </w:rPr>
              <w:t>ServiceNow Flow Designer; development, test and production environments.</w:t>
            </w:r>
          </w:p>
        </w:tc>
      </w:tr>
      <w:tr>
        <w:tc>
          <w:tcPr>
            <w:tcW w:type="dxa" w:w="2160"/>
            <w:vAlign w:val="top"/>
            <w:shd w:fill="FAF7FC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Arial" w:hAnsi="Arial"/>
                <w:b w:val="0"/>
                <w:color w:val="302A36"/>
                <w:sz w:val="14"/>
              </w:rPr>
              <w:t>Classification</w:t>
            </w:r>
          </w:p>
        </w:tc>
        <w:tc>
          <w:tcPr>
            <w:tcW w:type="dxa" w:w="3024"/>
            <w:vAlign w:val="top"/>
            <w:shd w:fill="FAF7FC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Arial" w:hAnsi="Arial"/>
                <w:b w:val="0"/>
                <w:color w:val="302A36"/>
                <w:sz w:val="14"/>
              </w:rPr>
              <w:t>Map eligible records to category/group</w:t>
            </w:r>
          </w:p>
        </w:tc>
        <w:tc>
          <w:tcPr>
            <w:tcW w:type="dxa" w:w="8064"/>
            <w:vAlign w:val="top"/>
            <w:shd w:fill="FAF7FC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Arial" w:hAnsi="Arial"/>
                <w:b w:val="0"/>
                <w:color w:val="302A36"/>
                <w:sz w:val="14"/>
              </w:rPr>
              <w:t>Decision logic and approved configuration tables; optional licensed prediction only after readiness review.</w:t>
            </w:r>
          </w:p>
        </w:tc>
      </w:tr>
      <w:tr>
        <w:tc>
          <w:tcPr>
            <w:tcW w:type="dxa" w:w="2160"/>
            <w:vAlign w:val="top"/>
            <w:shd w:fill="FFFFFF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Arial" w:hAnsi="Arial"/>
                <w:b w:val="0"/>
                <w:color w:val="302A36"/>
                <w:sz w:val="14"/>
              </w:rPr>
              <w:t>Integration</w:t>
            </w:r>
          </w:p>
        </w:tc>
        <w:tc>
          <w:tcPr>
            <w:tcW w:type="dxa" w:w="3024"/>
            <w:vAlign w:val="top"/>
            <w:shd w:fill="FFFFFF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Arial" w:hAnsi="Arial"/>
                <w:b w:val="0"/>
                <w:color w:val="302A36"/>
                <w:sz w:val="14"/>
              </w:rPr>
              <w:t>Optional service or monitoring enrichment</w:t>
            </w:r>
          </w:p>
        </w:tc>
        <w:tc>
          <w:tcPr>
            <w:tcW w:type="dxa" w:w="8064"/>
            <w:vAlign w:val="top"/>
            <w:shd w:fill="FFFFFF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Arial" w:hAnsi="Arial"/>
                <w:b w:val="0"/>
                <w:color w:val="302A36"/>
                <w:sz w:val="14"/>
              </w:rPr>
              <w:t>CMDB, IntegrationHub spokes or approved REST APIs only where needed.</w:t>
            </w:r>
          </w:p>
        </w:tc>
      </w:tr>
      <w:tr>
        <w:tc>
          <w:tcPr>
            <w:tcW w:type="dxa" w:w="2160"/>
            <w:vAlign w:val="top"/>
            <w:shd w:fill="FAF7FC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Arial" w:hAnsi="Arial"/>
                <w:b w:val="0"/>
                <w:color w:val="302A36"/>
                <w:sz w:val="14"/>
              </w:rPr>
              <w:t>Audit and metrics</w:t>
            </w:r>
          </w:p>
        </w:tc>
        <w:tc>
          <w:tcPr>
            <w:tcW w:type="dxa" w:w="3024"/>
            <w:vAlign w:val="top"/>
            <w:shd w:fill="FAF7FC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Arial" w:hAnsi="Arial"/>
                <w:b w:val="0"/>
                <w:color w:val="302A36"/>
                <w:sz w:val="14"/>
              </w:rPr>
              <w:t>Measure outcomes and investigate failures</w:t>
            </w:r>
          </w:p>
        </w:tc>
        <w:tc>
          <w:tcPr>
            <w:tcW w:type="dxa" w:w="8064"/>
            <w:vAlign w:val="top"/>
            <w:shd w:fill="FAF7FC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Arial" w:hAnsi="Arial"/>
                <w:b w:val="0"/>
                <w:color w:val="302A36"/>
                <w:sz w:val="14"/>
              </w:rPr>
              <w:t>Flow execution logs, audit history and agreed performance reports.</w:t>
            </w:r>
          </w:p>
        </w:tc>
      </w:tr>
    </w:tbl>
    <w:p>
      <w:pPr>
        <w:pStyle w:val="Heading2"/>
      </w:pPr>
      <w:r>
        <w:t>Table 1: Components and Technologies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"/>
        <w:gridCol w:w="1944"/>
        <w:gridCol w:w="3816"/>
        <w:gridCol w:w="6984"/>
      </w:tblGrid>
      <w:tr>
        <w:trPr>
          <w:tblHeader w:val="true"/>
        </w:trPr>
        <w:tc>
          <w:tcPr>
            <w:tcW w:type="dxa" w:w="504"/>
            <w:vAlign w:val="top"/>
            <w:shd w:fill="3D2A56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No.</w:t>
            </w:r>
          </w:p>
        </w:tc>
        <w:tc>
          <w:tcPr>
            <w:tcW w:type="dxa" w:w="1944"/>
            <w:vAlign w:val="top"/>
            <w:shd w:fill="3D2A56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Component</w:t>
            </w:r>
          </w:p>
        </w:tc>
        <w:tc>
          <w:tcPr>
            <w:tcW w:type="dxa" w:w="3816"/>
            <w:vAlign w:val="top"/>
            <w:shd w:fill="3D2A56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Purpose</w:t>
            </w:r>
          </w:p>
        </w:tc>
        <w:tc>
          <w:tcPr>
            <w:tcW w:type="dxa" w:w="6984"/>
            <w:vAlign w:val="top"/>
            <w:shd w:fill="3D2A56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Proposed technology</w:t>
            </w:r>
          </w:p>
        </w:tc>
      </w:tr>
      <w:tr>
        <w:tc>
          <w:tcPr>
            <w:tcW w:type="dxa" w:w="504"/>
            <w:vAlign w:val="top"/>
            <w:shd w:fill="FFFFFF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Arial" w:hAnsi="Arial"/>
                <w:b w:val="0"/>
                <w:color w:val="302A36"/>
                <w:sz w:val="14"/>
              </w:rPr>
              <w:t>1</w:t>
            </w:r>
          </w:p>
        </w:tc>
        <w:tc>
          <w:tcPr>
            <w:tcW w:type="dxa" w:w="1944"/>
            <w:vAlign w:val="top"/>
            <w:shd w:fill="FFFFFF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Arial" w:hAnsi="Arial"/>
                <w:b w:val="0"/>
                <w:color w:val="302A36"/>
                <w:sz w:val="14"/>
              </w:rPr>
              <w:t>User interface</w:t>
            </w:r>
          </w:p>
        </w:tc>
        <w:tc>
          <w:tcPr>
            <w:tcW w:type="dxa" w:w="3816"/>
            <w:vAlign w:val="top"/>
            <w:shd w:fill="FFFFFF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Arial" w:hAnsi="Arial"/>
                <w:b w:val="0"/>
                <w:color w:val="302A36"/>
                <w:sz w:val="14"/>
              </w:rPr>
              <w:t>Requester intake and agent work queue</w:t>
            </w:r>
          </w:p>
        </w:tc>
        <w:tc>
          <w:tcPr>
            <w:tcW w:type="dxa" w:w="6984"/>
            <w:vAlign w:val="top"/>
            <w:shd w:fill="FFFFFF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Arial" w:hAnsi="Arial"/>
                <w:b w:val="0"/>
                <w:color w:val="302A36"/>
                <w:sz w:val="14"/>
              </w:rPr>
              <w:t>ServiceNow Service Portal / Employee Center and Agent Workspace (confirm available products).</w:t>
            </w:r>
          </w:p>
        </w:tc>
      </w:tr>
      <w:tr>
        <w:tc>
          <w:tcPr>
            <w:tcW w:type="dxa" w:w="504"/>
            <w:vAlign w:val="top"/>
            <w:shd w:fill="FAF7FC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Arial" w:hAnsi="Arial"/>
                <w:b w:val="0"/>
                <w:color w:val="302A36"/>
                <w:sz w:val="14"/>
              </w:rPr>
              <w:t>2</w:t>
            </w:r>
          </w:p>
        </w:tc>
        <w:tc>
          <w:tcPr>
            <w:tcW w:type="dxa" w:w="1944"/>
            <w:vAlign w:val="top"/>
            <w:shd w:fill="FAF7FC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Arial" w:hAnsi="Arial"/>
                <w:b w:val="0"/>
                <w:color w:val="302A36"/>
                <w:sz w:val="14"/>
              </w:rPr>
              <w:t>Application logic 1</w:t>
            </w:r>
          </w:p>
        </w:tc>
        <w:tc>
          <w:tcPr>
            <w:tcW w:type="dxa" w:w="3816"/>
            <w:vAlign w:val="top"/>
            <w:shd w:fill="FAF7FC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Arial" w:hAnsi="Arial"/>
                <w:b w:val="0"/>
                <w:color w:val="302A36"/>
                <w:sz w:val="14"/>
              </w:rPr>
              <w:t>Ticket trigger, validation, conditions, routing actions</w:t>
            </w:r>
          </w:p>
        </w:tc>
        <w:tc>
          <w:tcPr>
            <w:tcW w:type="dxa" w:w="6984"/>
            <w:vAlign w:val="top"/>
            <w:shd w:fill="FAF7FC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Arial" w:hAnsi="Arial"/>
                <w:b w:val="0"/>
                <w:color w:val="302A36"/>
                <w:sz w:val="14"/>
              </w:rPr>
              <w:t>ServiceNow Flow Designer.</w:t>
            </w:r>
          </w:p>
        </w:tc>
      </w:tr>
      <w:tr>
        <w:tc>
          <w:tcPr>
            <w:tcW w:type="dxa" w:w="504"/>
            <w:vAlign w:val="top"/>
            <w:shd w:fill="FFFFFF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Arial" w:hAnsi="Arial"/>
                <w:b w:val="0"/>
                <w:color w:val="302A36"/>
                <w:sz w:val="14"/>
              </w:rPr>
              <w:t>3</w:t>
            </w:r>
          </w:p>
        </w:tc>
        <w:tc>
          <w:tcPr>
            <w:tcW w:type="dxa" w:w="1944"/>
            <w:vAlign w:val="top"/>
            <w:shd w:fill="FFFFFF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Arial" w:hAnsi="Arial"/>
                <w:b w:val="0"/>
                <w:color w:val="302A36"/>
                <w:sz w:val="14"/>
              </w:rPr>
              <w:t>Application logic 2</w:t>
            </w:r>
          </w:p>
        </w:tc>
        <w:tc>
          <w:tcPr>
            <w:tcW w:type="dxa" w:w="3816"/>
            <w:vAlign w:val="top"/>
            <w:shd w:fill="FFFFFF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Arial" w:hAnsi="Arial"/>
                <w:b w:val="0"/>
                <w:color w:val="302A36"/>
                <w:sz w:val="14"/>
              </w:rPr>
              <w:t>Deterministic category and group mapping</w:t>
            </w:r>
          </w:p>
        </w:tc>
        <w:tc>
          <w:tcPr>
            <w:tcW w:type="dxa" w:w="6984"/>
            <w:vAlign w:val="top"/>
            <w:shd w:fill="FFFFFF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Arial" w:hAnsi="Arial"/>
                <w:b w:val="0"/>
                <w:color w:val="302A36"/>
                <w:sz w:val="14"/>
              </w:rPr>
              <w:t>Flow Designer decision logic / approved configuration tables.</w:t>
            </w:r>
          </w:p>
        </w:tc>
      </w:tr>
      <w:tr>
        <w:tc>
          <w:tcPr>
            <w:tcW w:type="dxa" w:w="504"/>
            <w:vAlign w:val="top"/>
            <w:shd w:fill="FAF7FC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Arial" w:hAnsi="Arial"/>
                <w:b w:val="0"/>
                <w:color w:val="302A36"/>
                <w:sz w:val="14"/>
              </w:rPr>
              <w:t>4</w:t>
            </w:r>
          </w:p>
        </w:tc>
        <w:tc>
          <w:tcPr>
            <w:tcW w:type="dxa" w:w="1944"/>
            <w:vAlign w:val="top"/>
            <w:shd w:fill="FAF7FC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Arial" w:hAnsi="Arial"/>
                <w:b w:val="0"/>
                <w:color w:val="302A36"/>
                <w:sz w:val="14"/>
              </w:rPr>
              <w:t>Application logic 3</w:t>
            </w:r>
          </w:p>
        </w:tc>
        <w:tc>
          <w:tcPr>
            <w:tcW w:type="dxa" w:w="3816"/>
            <w:vAlign w:val="top"/>
            <w:shd w:fill="FAF7FC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Arial" w:hAnsi="Arial"/>
                <w:b w:val="0"/>
                <w:color w:val="302A36"/>
                <w:sz w:val="14"/>
              </w:rPr>
              <w:t>Optional text-based suggestions</w:t>
            </w:r>
          </w:p>
        </w:tc>
        <w:tc>
          <w:tcPr>
            <w:tcW w:type="dxa" w:w="6984"/>
            <w:vAlign w:val="top"/>
            <w:shd w:fill="FAF7FC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Arial" w:hAnsi="Arial"/>
                <w:b w:val="0"/>
                <w:color w:val="302A36"/>
                <w:sz w:val="14"/>
              </w:rPr>
              <w:t>ServiceNow Predictive Intelligence / supported classification feature, subject to licensing, data review, and validation.</w:t>
            </w:r>
          </w:p>
        </w:tc>
      </w:tr>
      <w:tr>
        <w:tc>
          <w:tcPr>
            <w:tcW w:type="dxa" w:w="504"/>
            <w:vAlign w:val="top"/>
            <w:shd w:fill="FFFFFF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Arial" w:hAnsi="Arial"/>
                <w:b w:val="0"/>
                <w:color w:val="302A36"/>
                <w:sz w:val="14"/>
              </w:rPr>
              <w:t>5</w:t>
            </w:r>
          </w:p>
        </w:tc>
        <w:tc>
          <w:tcPr>
            <w:tcW w:type="dxa" w:w="1944"/>
            <w:vAlign w:val="top"/>
            <w:shd w:fill="FFFFFF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Arial" w:hAnsi="Arial"/>
                <w:b w:val="0"/>
                <w:color w:val="302A36"/>
                <w:sz w:val="14"/>
              </w:rPr>
              <w:t>Database</w:t>
            </w:r>
          </w:p>
        </w:tc>
        <w:tc>
          <w:tcPr>
            <w:tcW w:type="dxa" w:w="3816"/>
            <w:vAlign w:val="top"/>
            <w:shd w:fill="FFFFFF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Arial" w:hAnsi="Arial"/>
                <w:b w:val="0"/>
                <w:color w:val="302A36"/>
                <w:sz w:val="14"/>
              </w:rPr>
              <w:t>Ticket fields, status, category, assignment, audit references</w:t>
            </w:r>
          </w:p>
        </w:tc>
        <w:tc>
          <w:tcPr>
            <w:tcW w:type="dxa" w:w="6984"/>
            <w:vAlign w:val="top"/>
            <w:shd w:fill="FFFFFF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Arial" w:hAnsi="Arial"/>
                <w:b w:val="0"/>
                <w:color w:val="302A36"/>
                <w:sz w:val="14"/>
              </w:rPr>
              <w:t>ServiceNow platform data store and approved tables.</w:t>
            </w:r>
          </w:p>
        </w:tc>
      </w:tr>
      <w:tr>
        <w:tc>
          <w:tcPr>
            <w:tcW w:type="dxa" w:w="504"/>
            <w:vAlign w:val="top"/>
            <w:shd w:fill="FAF7FC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Arial" w:hAnsi="Arial"/>
                <w:b w:val="0"/>
                <w:color w:val="302A36"/>
                <w:sz w:val="14"/>
              </w:rPr>
              <w:t>6</w:t>
            </w:r>
          </w:p>
        </w:tc>
        <w:tc>
          <w:tcPr>
            <w:tcW w:type="dxa" w:w="1944"/>
            <w:vAlign w:val="top"/>
            <w:shd w:fill="FAF7FC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Arial" w:hAnsi="Arial"/>
                <w:b w:val="0"/>
                <w:color w:val="302A36"/>
                <w:sz w:val="14"/>
              </w:rPr>
              <w:t>Cloud database</w:t>
            </w:r>
          </w:p>
        </w:tc>
        <w:tc>
          <w:tcPr>
            <w:tcW w:type="dxa" w:w="3816"/>
            <w:vAlign w:val="top"/>
            <w:shd w:fill="FAF7FC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Arial" w:hAnsi="Arial"/>
                <w:b w:val="0"/>
                <w:color w:val="302A36"/>
                <w:sz w:val="14"/>
              </w:rPr>
              <w:t>Platform-managed storage and backups</w:t>
            </w:r>
          </w:p>
        </w:tc>
        <w:tc>
          <w:tcPr>
            <w:tcW w:type="dxa" w:w="6984"/>
            <w:vAlign w:val="top"/>
            <w:shd w:fill="FAF7FC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Arial" w:hAnsi="Arial"/>
                <w:b w:val="0"/>
                <w:color w:val="302A36"/>
                <w:sz w:val="14"/>
              </w:rPr>
              <w:t>ServiceNow-hosted platform service; instance and residency follow contract.</w:t>
            </w:r>
          </w:p>
        </w:tc>
      </w:tr>
      <w:tr>
        <w:tc>
          <w:tcPr>
            <w:tcW w:type="dxa" w:w="504"/>
            <w:vAlign w:val="top"/>
            <w:shd w:fill="FFFFFF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Arial" w:hAnsi="Arial"/>
                <w:b w:val="0"/>
                <w:color w:val="302A36"/>
                <w:sz w:val="14"/>
              </w:rPr>
              <w:t>7</w:t>
            </w:r>
          </w:p>
        </w:tc>
        <w:tc>
          <w:tcPr>
            <w:tcW w:type="dxa" w:w="1944"/>
            <w:vAlign w:val="top"/>
            <w:shd w:fill="FFFFFF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Arial" w:hAnsi="Arial"/>
                <w:b w:val="0"/>
                <w:color w:val="302A36"/>
                <w:sz w:val="14"/>
              </w:rPr>
              <w:t>File storage</w:t>
            </w:r>
          </w:p>
        </w:tc>
        <w:tc>
          <w:tcPr>
            <w:tcW w:type="dxa" w:w="3816"/>
            <w:vAlign w:val="top"/>
            <w:shd w:fill="FFFFFF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Arial" w:hAnsi="Arial"/>
                <w:b w:val="0"/>
                <w:color w:val="302A36"/>
                <w:sz w:val="14"/>
              </w:rPr>
              <w:t>Attachments and supporting evidence</w:t>
            </w:r>
          </w:p>
        </w:tc>
        <w:tc>
          <w:tcPr>
            <w:tcW w:type="dxa" w:w="6984"/>
            <w:vAlign w:val="top"/>
            <w:shd w:fill="FFFFFF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Arial" w:hAnsi="Arial"/>
                <w:b w:val="0"/>
                <w:color w:val="302A36"/>
                <w:sz w:val="14"/>
              </w:rPr>
              <w:t>Platform attachment storage subject to retention and size policy.</w:t>
            </w:r>
          </w:p>
        </w:tc>
      </w:tr>
      <w:tr>
        <w:tc>
          <w:tcPr>
            <w:tcW w:type="dxa" w:w="504"/>
            <w:vAlign w:val="top"/>
            <w:shd w:fill="FAF7FC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Arial" w:hAnsi="Arial"/>
                <w:b w:val="0"/>
                <w:color w:val="302A36"/>
                <w:sz w:val="14"/>
              </w:rPr>
              <w:t>8</w:t>
            </w:r>
          </w:p>
        </w:tc>
        <w:tc>
          <w:tcPr>
            <w:tcW w:type="dxa" w:w="1944"/>
            <w:vAlign w:val="top"/>
            <w:shd w:fill="FAF7FC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Arial" w:hAnsi="Arial"/>
                <w:b w:val="0"/>
                <w:color w:val="302A36"/>
                <w:sz w:val="14"/>
              </w:rPr>
              <w:t>External API 1</w:t>
            </w:r>
          </w:p>
        </w:tc>
        <w:tc>
          <w:tcPr>
            <w:tcW w:type="dxa" w:w="3816"/>
            <w:vAlign w:val="top"/>
            <w:shd w:fill="FAF7FC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Arial" w:hAnsi="Arial"/>
                <w:b w:val="0"/>
                <w:color w:val="302A36"/>
                <w:sz w:val="14"/>
              </w:rPr>
              <w:t>Optional enrichment from approved CMDB/service data</w:t>
            </w:r>
          </w:p>
        </w:tc>
        <w:tc>
          <w:tcPr>
            <w:tcW w:type="dxa" w:w="6984"/>
            <w:vAlign w:val="top"/>
            <w:shd w:fill="FAF7FC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Arial" w:hAnsi="Arial"/>
                <w:b w:val="0"/>
                <w:color w:val="302A36"/>
                <w:sz w:val="14"/>
              </w:rPr>
              <w:t>ServiceNow CMDB or internal APIs; avoid external API unless justified.</w:t>
            </w:r>
          </w:p>
        </w:tc>
      </w:tr>
      <w:tr>
        <w:tc>
          <w:tcPr>
            <w:tcW w:type="dxa" w:w="504"/>
            <w:vAlign w:val="top"/>
            <w:shd w:fill="FFFFFF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Arial" w:hAnsi="Arial"/>
                <w:b w:val="0"/>
                <w:color w:val="302A36"/>
                <w:sz w:val="14"/>
              </w:rPr>
              <w:t>9</w:t>
            </w:r>
          </w:p>
        </w:tc>
        <w:tc>
          <w:tcPr>
            <w:tcW w:type="dxa" w:w="1944"/>
            <w:vAlign w:val="top"/>
            <w:shd w:fill="FFFFFF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Arial" w:hAnsi="Arial"/>
                <w:b w:val="0"/>
                <w:color w:val="302A36"/>
                <w:sz w:val="14"/>
              </w:rPr>
              <w:t>External API 2</w:t>
            </w:r>
          </w:p>
        </w:tc>
        <w:tc>
          <w:tcPr>
            <w:tcW w:type="dxa" w:w="3816"/>
            <w:vAlign w:val="top"/>
            <w:shd w:fill="FFFFFF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Arial" w:hAnsi="Arial"/>
                <w:b w:val="0"/>
                <w:color w:val="302A36"/>
                <w:sz w:val="14"/>
              </w:rPr>
              <w:t>Optional integration to monitoring or identity tools</w:t>
            </w:r>
          </w:p>
        </w:tc>
        <w:tc>
          <w:tcPr>
            <w:tcW w:type="dxa" w:w="6984"/>
            <w:vAlign w:val="top"/>
            <w:shd w:fill="FFFFFF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Arial" w:hAnsi="Arial"/>
                <w:b w:val="0"/>
                <w:color w:val="302A36"/>
                <w:sz w:val="14"/>
              </w:rPr>
              <w:t>Approved IntegrationHub spokes / REST APIs where required.</w:t>
            </w:r>
          </w:p>
        </w:tc>
      </w:tr>
      <w:tr>
        <w:tc>
          <w:tcPr>
            <w:tcW w:type="dxa" w:w="504"/>
            <w:vAlign w:val="top"/>
            <w:shd w:fill="FAF7FC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Arial" w:hAnsi="Arial"/>
                <w:b w:val="0"/>
                <w:color w:val="302A36"/>
                <w:sz w:val="14"/>
              </w:rPr>
              <w:t>10</w:t>
            </w:r>
          </w:p>
        </w:tc>
        <w:tc>
          <w:tcPr>
            <w:tcW w:type="dxa" w:w="1944"/>
            <w:vAlign w:val="top"/>
            <w:shd w:fill="FAF7FC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Arial" w:hAnsi="Arial"/>
                <w:b w:val="0"/>
                <w:color w:val="302A36"/>
                <w:sz w:val="14"/>
              </w:rPr>
              <w:t>Machine learning model</w:t>
            </w:r>
          </w:p>
        </w:tc>
        <w:tc>
          <w:tcPr>
            <w:tcW w:type="dxa" w:w="3816"/>
            <w:vAlign w:val="top"/>
            <w:shd w:fill="FAF7FC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Arial" w:hAnsi="Arial"/>
                <w:b w:val="0"/>
                <w:color w:val="302A36"/>
                <w:sz w:val="14"/>
              </w:rPr>
              <w:t>Optional category prediction model</w:t>
            </w:r>
          </w:p>
        </w:tc>
        <w:tc>
          <w:tcPr>
            <w:tcW w:type="dxa" w:w="6984"/>
            <w:vAlign w:val="top"/>
            <w:shd w:fill="FAF7FC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Arial" w:hAnsi="Arial"/>
                <w:b w:val="0"/>
                <w:color w:val="302A36"/>
                <w:sz w:val="14"/>
              </w:rPr>
              <w:t>Supported ServiceNow model capability; use only after representative labeled data and governance approval.</w:t>
            </w:r>
          </w:p>
        </w:tc>
      </w:tr>
      <w:tr>
        <w:tc>
          <w:tcPr>
            <w:tcW w:type="dxa" w:w="504"/>
            <w:vAlign w:val="top"/>
            <w:shd w:fill="FFFFFF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Arial" w:hAnsi="Arial"/>
                <w:b w:val="0"/>
                <w:color w:val="302A36"/>
                <w:sz w:val="14"/>
              </w:rPr>
              <w:t>11</w:t>
            </w:r>
          </w:p>
        </w:tc>
        <w:tc>
          <w:tcPr>
            <w:tcW w:type="dxa" w:w="1944"/>
            <w:vAlign w:val="top"/>
            <w:shd w:fill="FFFFFF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Arial" w:hAnsi="Arial"/>
                <w:b w:val="0"/>
                <w:color w:val="302A36"/>
                <w:sz w:val="14"/>
              </w:rPr>
              <w:t>Infrastructure</w:t>
            </w:r>
          </w:p>
        </w:tc>
        <w:tc>
          <w:tcPr>
            <w:tcW w:type="dxa" w:w="3816"/>
            <w:vAlign w:val="top"/>
            <w:shd w:fill="FFFFFF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Arial" w:hAnsi="Arial"/>
                <w:b w:val="0"/>
                <w:color w:val="302A36"/>
                <w:sz w:val="14"/>
              </w:rPr>
              <w:t>Application deployment and runtime</w:t>
            </w:r>
          </w:p>
        </w:tc>
        <w:tc>
          <w:tcPr>
            <w:tcW w:type="dxa" w:w="6984"/>
            <w:vAlign w:val="top"/>
            <w:shd w:fill="FFFFFF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Arial" w:hAnsi="Arial"/>
                <w:b w:val="0"/>
                <w:color w:val="302A36"/>
                <w:sz w:val="14"/>
              </w:rPr>
              <w:t>ServiceNow SaaS instance; development, test, and production environments.</w:t>
            </w:r>
          </w:p>
        </w:tc>
      </w:tr>
    </w:tbl>
    <w:p>
      <w:r>
        <w:br w:type="page"/>
      </w:r>
    </w:p>
    <w:p>
      <w:pPr>
        <w:pStyle w:val="Heading2"/>
      </w:pPr>
      <w:r>
        <w:t>Table 2: Application Characteristics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"/>
        <w:gridCol w:w="1944"/>
        <w:gridCol w:w="3816"/>
        <w:gridCol w:w="6984"/>
      </w:tblGrid>
      <w:tr>
        <w:trPr>
          <w:tblHeader w:val="true"/>
        </w:trPr>
        <w:tc>
          <w:tcPr>
            <w:tcW w:type="dxa" w:w="504"/>
            <w:vAlign w:val="top"/>
            <w:shd w:fill="3D2A56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No.</w:t>
            </w:r>
          </w:p>
        </w:tc>
        <w:tc>
          <w:tcPr>
            <w:tcW w:type="dxa" w:w="1944"/>
            <w:vAlign w:val="top"/>
            <w:shd w:fill="3D2A56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Characteristic</w:t>
            </w:r>
          </w:p>
        </w:tc>
        <w:tc>
          <w:tcPr>
            <w:tcW w:type="dxa" w:w="3816"/>
            <w:vAlign w:val="top"/>
            <w:shd w:fill="3D2A56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Description</w:t>
            </w:r>
          </w:p>
        </w:tc>
        <w:tc>
          <w:tcPr>
            <w:tcW w:type="dxa" w:w="6984"/>
            <w:vAlign w:val="top"/>
            <w:shd w:fill="3D2A56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Proposed technology / approach</w:t>
            </w:r>
          </w:p>
        </w:tc>
      </w:tr>
      <w:tr>
        <w:tc>
          <w:tcPr>
            <w:tcW w:type="dxa" w:w="504"/>
            <w:vAlign w:val="top"/>
            <w:shd w:fill="FFFFFF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Arial" w:hAnsi="Arial"/>
                <w:b w:val="0"/>
                <w:color w:val="302A36"/>
                <w:sz w:val="14"/>
              </w:rPr>
              <w:t>1</w:t>
            </w:r>
          </w:p>
        </w:tc>
        <w:tc>
          <w:tcPr>
            <w:tcW w:type="dxa" w:w="1944"/>
            <w:vAlign w:val="top"/>
            <w:shd w:fill="FFFFFF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Arial" w:hAnsi="Arial"/>
                <w:b w:val="0"/>
                <w:color w:val="302A36"/>
                <w:sz w:val="14"/>
              </w:rPr>
              <w:t>Open-source frameworks</w:t>
            </w:r>
          </w:p>
        </w:tc>
        <w:tc>
          <w:tcPr>
            <w:tcW w:type="dxa" w:w="3816"/>
            <w:vAlign w:val="top"/>
            <w:shd w:fill="FFFFFF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Arial" w:hAnsi="Arial"/>
                <w:b w:val="0"/>
                <w:color w:val="302A36"/>
                <w:sz w:val="14"/>
              </w:rPr>
              <w:t>List frameworks used by custom components, if any.</w:t>
            </w:r>
          </w:p>
        </w:tc>
        <w:tc>
          <w:tcPr>
            <w:tcW w:type="dxa" w:w="6984"/>
            <w:vAlign w:val="top"/>
            <w:shd w:fill="FFFFFF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Arial" w:hAnsi="Arial"/>
                <w:b w:val="0"/>
                <w:color w:val="302A36"/>
                <w:sz w:val="14"/>
              </w:rPr>
              <w:t>Prefer platform-native Flow Designer; no additional framework assumed.</w:t>
            </w:r>
          </w:p>
        </w:tc>
      </w:tr>
      <w:tr>
        <w:tc>
          <w:tcPr>
            <w:tcW w:type="dxa" w:w="504"/>
            <w:vAlign w:val="top"/>
            <w:shd w:fill="FAF7FC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Arial" w:hAnsi="Arial"/>
                <w:b w:val="0"/>
                <w:color w:val="302A36"/>
                <w:sz w:val="14"/>
              </w:rPr>
              <w:t>2</w:t>
            </w:r>
          </w:p>
        </w:tc>
        <w:tc>
          <w:tcPr>
            <w:tcW w:type="dxa" w:w="1944"/>
            <w:vAlign w:val="top"/>
            <w:shd w:fill="FAF7FC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Arial" w:hAnsi="Arial"/>
                <w:b w:val="0"/>
                <w:color w:val="302A36"/>
                <w:sz w:val="14"/>
              </w:rPr>
              <w:t>Security implementations</w:t>
            </w:r>
          </w:p>
        </w:tc>
        <w:tc>
          <w:tcPr>
            <w:tcW w:type="dxa" w:w="3816"/>
            <w:vAlign w:val="top"/>
            <w:shd w:fill="FAF7FC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Arial" w:hAnsi="Arial"/>
                <w:b w:val="0"/>
                <w:color w:val="302A36"/>
                <w:sz w:val="14"/>
              </w:rPr>
              <w:t>Authentication, authorization, encryption, audit, network and secure development controls.</w:t>
            </w:r>
          </w:p>
        </w:tc>
        <w:tc>
          <w:tcPr>
            <w:tcW w:type="dxa" w:w="6984"/>
            <w:vAlign w:val="top"/>
            <w:shd w:fill="FAF7FC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Arial" w:hAnsi="Arial"/>
                <w:b w:val="0"/>
                <w:color w:val="302A36"/>
                <w:sz w:val="14"/>
              </w:rPr>
              <w:t>ServiceNow SSO/MFA and role-based ACLs per enterprise policy; platform TLS and encryption options; least privilege; audit/change records; review OWASP for any custom API/UI. Confirm actual settings.</w:t>
            </w:r>
          </w:p>
        </w:tc>
      </w:tr>
      <w:tr>
        <w:tc>
          <w:tcPr>
            <w:tcW w:type="dxa" w:w="504"/>
            <w:vAlign w:val="top"/>
            <w:shd w:fill="FFFFFF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Arial" w:hAnsi="Arial"/>
                <w:b w:val="0"/>
                <w:color w:val="302A36"/>
                <w:sz w:val="14"/>
              </w:rPr>
              <w:t>3</w:t>
            </w:r>
          </w:p>
        </w:tc>
        <w:tc>
          <w:tcPr>
            <w:tcW w:type="dxa" w:w="1944"/>
            <w:vAlign w:val="top"/>
            <w:shd w:fill="FFFFFF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Arial" w:hAnsi="Arial"/>
                <w:b w:val="0"/>
                <w:color w:val="302A36"/>
                <w:sz w:val="14"/>
              </w:rPr>
              <w:t>Scalable architecture</w:t>
            </w:r>
          </w:p>
        </w:tc>
        <w:tc>
          <w:tcPr>
            <w:tcW w:type="dxa" w:w="3816"/>
            <w:vAlign w:val="top"/>
            <w:shd w:fill="FFFFFF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Arial" w:hAnsi="Arial"/>
                <w:b w:val="0"/>
                <w:color w:val="302A36"/>
                <w:sz w:val="14"/>
              </w:rPr>
              <w:t>Justify scale approach and expansion.</w:t>
            </w:r>
          </w:p>
        </w:tc>
        <w:tc>
          <w:tcPr>
            <w:tcW w:type="dxa" w:w="6984"/>
            <w:vAlign w:val="top"/>
            <w:shd w:fill="FFFFFF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Arial" w:hAnsi="Arial"/>
                <w:b w:val="0"/>
                <w:color w:val="302A36"/>
                <w:sz w:val="14"/>
              </w:rPr>
              <w:t>Managed ServiceNow platform; event-driven flows and category-by-category rollout. Validate transaction limits, licensing and volume with platform owner.</w:t>
            </w:r>
          </w:p>
        </w:tc>
      </w:tr>
      <w:tr>
        <w:tc>
          <w:tcPr>
            <w:tcW w:type="dxa" w:w="504"/>
            <w:vAlign w:val="top"/>
            <w:shd w:fill="FAF7FC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Arial" w:hAnsi="Arial"/>
                <w:b w:val="0"/>
                <w:color w:val="302A36"/>
                <w:sz w:val="14"/>
              </w:rPr>
              <w:t>4</w:t>
            </w:r>
          </w:p>
        </w:tc>
        <w:tc>
          <w:tcPr>
            <w:tcW w:type="dxa" w:w="1944"/>
            <w:vAlign w:val="top"/>
            <w:shd w:fill="FAF7FC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Arial" w:hAnsi="Arial"/>
                <w:b w:val="0"/>
                <w:color w:val="302A36"/>
                <w:sz w:val="14"/>
              </w:rPr>
              <w:t>Availability</w:t>
            </w:r>
          </w:p>
        </w:tc>
        <w:tc>
          <w:tcPr>
            <w:tcW w:type="dxa" w:w="3816"/>
            <w:vAlign w:val="top"/>
            <w:shd w:fill="FAF7FC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Arial" w:hAnsi="Arial"/>
                <w:b w:val="0"/>
                <w:color w:val="302A36"/>
                <w:sz w:val="14"/>
              </w:rPr>
              <w:t>Explain continuity and fallback.</w:t>
            </w:r>
          </w:p>
        </w:tc>
        <w:tc>
          <w:tcPr>
            <w:tcW w:type="dxa" w:w="6984"/>
            <w:vAlign w:val="top"/>
            <w:shd w:fill="FAF7FC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Arial" w:hAnsi="Arial"/>
                <w:b w:val="0"/>
                <w:color w:val="302A36"/>
                <w:sz w:val="14"/>
              </w:rPr>
              <w:t>Platform service commitments plus manual triage queue and flow error monitoring. Confirm SLA, recovery objectives and support procedures.</w:t>
            </w:r>
          </w:p>
        </w:tc>
      </w:tr>
      <w:tr>
        <w:tc>
          <w:tcPr>
            <w:tcW w:type="dxa" w:w="504"/>
            <w:vAlign w:val="top"/>
            <w:shd w:fill="FFFFFF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Arial" w:hAnsi="Arial"/>
                <w:b w:val="0"/>
                <w:color w:val="302A36"/>
                <w:sz w:val="14"/>
              </w:rPr>
              <w:t>5</w:t>
            </w:r>
          </w:p>
        </w:tc>
        <w:tc>
          <w:tcPr>
            <w:tcW w:type="dxa" w:w="1944"/>
            <w:vAlign w:val="top"/>
            <w:shd w:fill="FFFFFF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Arial" w:hAnsi="Arial"/>
                <w:b w:val="0"/>
                <w:color w:val="302A36"/>
                <w:sz w:val="14"/>
              </w:rPr>
              <w:t>Performance</w:t>
            </w:r>
          </w:p>
        </w:tc>
        <w:tc>
          <w:tcPr>
            <w:tcW w:type="dxa" w:w="3816"/>
            <w:vAlign w:val="top"/>
            <w:shd w:fill="FFFFFF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Arial" w:hAnsi="Arial"/>
                <w:b w:val="0"/>
                <w:color w:val="302A36"/>
                <w:sz w:val="14"/>
              </w:rPr>
              <w:t>Describe response and processing measures.</w:t>
            </w:r>
          </w:p>
        </w:tc>
        <w:tc>
          <w:tcPr>
            <w:tcW w:type="dxa" w:w="6984"/>
            <w:vAlign w:val="top"/>
            <w:shd w:fill="FFFFFF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Arial" w:hAnsi="Arial"/>
                <w:b w:val="0"/>
                <w:color w:val="302A36"/>
                <w:sz w:val="14"/>
              </w:rPr>
              <w:t>Keep synchronous ticket intake lightweight; process classification in a controlled flow; baseline and monitor latency, queue time, and throughput.</w:t>
            </w:r>
          </w:p>
        </w:tc>
      </w:tr>
      <w:tr>
        <w:tc>
          <w:tcPr>
            <w:tcW w:type="dxa" w:w="504"/>
            <w:vAlign w:val="top"/>
            <w:shd w:fill="FAF7FC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Arial" w:hAnsi="Arial"/>
                <w:b w:val="0"/>
                <w:color w:val="302A36"/>
                <w:sz w:val="14"/>
              </w:rPr>
              <w:t>6</w:t>
            </w:r>
          </w:p>
        </w:tc>
        <w:tc>
          <w:tcPr>
            <w:tcW w:type="dxa" w:w="1944"/>
            <w:vAlign w:val="top"/>
            <w:shd w:fill="FAF7FC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Arial" w:hAnsi="Arial"/>
                <w:b w:val="0"/>
                <w:color w:val="302A36"/>
                <w:sz w:val="14"/>
              </w:rPr>
              <w:t>Observability</w:t>
            </w:r>
          </w:p>
        </w:tc>
        <w:tc>
          <w:tcPr>
            <w:tcW w:type="dxa" w:w="3816"/>
            <w:vAlign w:val="top"/>
            <w:shd w:fill="FAF7FC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Arial" w:hAnsi="Arial"/>
                <w:b w:val="0"/>
                <w:color w:val="302A36"/>
                <w:sz w:val="14"/>
              </w:rPr>
              <w:t>How will operations detect failures or drift?</w:t>
            </w:r>
          </w:p>
        </w:tc>
        <w:tc>
          <w:tcPr>
            <w:tcW w:type="dxa" w:w="6984"/>
            <w:vAlign w:val="top"/>
            <w:shd w:fill="FAF7FC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Arial" w:hAnsi="Arial"/>
                <w:b w:val="0"/>
                <w:color w:val="302A36"/>
                <w:sz w:val="14"/>
              </w:rPr>
              <w:t>Flow execution logs, error alerts, assignment accuracy, overrides, fallback volume and periodic category-level review.</w:t>
            </w:r>
          </w:p>
        </w:tc>
      </w:tr>
      <w:tr>
        <w:tc>
          <w:tcPr>
            <w:tcW w:type="dxa" w:w="504"/>
            <w:vAlign w:val="top"/>
            <w:shd w:fill="FFFFFF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Arial" w:hAnsi="Arial"/>
                <w:b w:val="0"/>
                <w:color w:val="302A36"/>
                <w:sz w:val="14"/>
              </w:rPr>
              <w:t>7</w:t>
            </w:r>
          </w:p>
        </w:tc>
        <w:tc>
          <w:tcPr>
            <w:tcW w:type="dxa" w:w="1944"/>
            <w:vAlign w:val="top"/>
            <w:shd w:fill="FFFFFF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Arial" w:hAnsi="Arial"/>
                <w:b w:val="0"/>
                <w:color w:val="302A36"/>
                <w:sz w:val="14"/>
              </w:rPr>
              <w:t>Data governance</w:t>
            </w:r>
          </w:p>
        </w:tc>
        <w:tc>
          <w:tcPr>
            <w:tcW w:type="dxa" w:w="3816"/>
            <w:vAlign w:val="top"/>
            <w:shd w:fill="FFFFFF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Arial" w:hAnsi="Arial"/>
                <w:b w:val="0"/>
                <w:color w:val="302A36"/>
                <w:sz w:val="14"/>
              </w:rPr>
              <w:t>How are training and ticket data governed?</w:t>
            </w:r>
          </w:p>
        </w:tc>
        <w:tc>
          <w:tcPr>
            <w:tcW w:type="dxa" w:w="6984"/>
            <w:vAlign w:val="top"/>
            <w:shd w:fill="FFFFFF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Arial" w:hAnsi="Arial"/>
                <w:b w:val="0"/>
                <w:color w:val="302A36"/>
                <w:sz w:val="14"/>
              </w:rPr>
              <w:t>Use approved data only; limit access and retention; review representativeness, privacy and model lifecycle before predictive classification.</w:t>
            </w:r>
          </w:p>
        </w:tc>
      </w:tr>
    </w:tbl>
    <w:p>
      <w:r>
        <w:t>Local server configuration: Not applicable for a SaaS ServiceNow design. If a MID Server or gateway is required, size and secure it with the platform team.</w:t>
      </w:r>
    </w:p>
    <w:p>
      <w:r>
        <w:t>Cloud server configuration: ServiceNow-hosted instance. Confirm region, environment topology, licensed products, integration paths, availability commitments and data residency.</w:t>
      </w:r>
    </w:p>
    <w:p>
      <w:r>
        <w:t>Design caveat: Prediction is optional. Start with transparent rules and human fallback; add prediction only after platform and data readiness are confirmed.</w:t>
      </w:r>
    </w:p>
    <w:sectPr w:rsidR="00FC693F" w:rsidRPr="0006063C" w:rsidSect="00034616">
      <w:footerReference w:type="default" r:id="rId9"/>
      <w:headerReference w:type="default" r:id="rId10"/>
      <w:pgSz w:w="16834" w:h="23818" w:orient="landscape"/>
      <w:pgMar w:top="792" w:right="792" w:bottom="864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6D6473"/>
        <w:sz w:val="14"/>
      </w:rPr>
      <w:t>PROJECT DESIGN PHASE II  |  AUTO TICKET CLASSIFICATION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40" w:lineRule="auto"/>
    </w:pPr>
    <w:rPr>
      <w:rFonts w:ascii="Arial" w:hAnsi="Arial"/>
      <w:color w:val="302A36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6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3D2A56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Technology Stack - Auto Ticket Classification Using Flow Designer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