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D18A20"/>
          <w:sz w:val="16"/>
        </w:rPr>
        <w:t>PROJECT DESIGN PHASE  /  SOLUTION PROPOSAL</w:t>
      </w:r>
    </w:p>
    <w:p>
      <w:pPr>
        <w:pStyle w:val="Title"/>
      </w:pPr>
      <w:r>
        <w:t>Proposed Solution</w:t>
      </w:r>
    </w:p>
    <w:p>
      <w:pPr>
        <w:spacing w:after="160"/>
      </w:pPr>
      <w:r>
        <w:rPr>
          <w:color w:val="6D6473"/>
        </w:rPr>
        <w:t>Project Title: Auto Ticket Classification Using Flow Designer</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F1EAF5"/>
          </w:tcPr>
          <w:p>
            <w:r>
              <w:rPr>
                <w:rFonts w:ascii="Arial" w:hAnsi="Arial"/>
                <w:b/>
                <w:color w:val="302A36"/>
                <w:sz w:val="16"/>
              </w:rPr>
              <w:t>Date</w:t>
            </w:r>
          </w:p>
        </w:tc>
        <w:tc>
          <w:tcPr>
            <w:tcW w:type="dxa" w:w="2556"/>
            <w:vAlign w:val="center"/>
            <w:shd w:fill="F1EAF5"/>
          </w:tcPr>
          <w:p>
            <w:r>
              <w:rPr>
                <w:rFonts w:ascii="Arial" w:hAnsi="Arial"/>
                <w:b w:val="0"/>
                <w:color w:val="302A36"/>
                <w:sz w:val="16"/>
              </w:rPr>
              <w:t>3 October 2026</w:t>
            </w:r>
          </w:p>
        </w:tc>
        <w:tc>
          <w:tcPr>
            <w:tcW w:type="dxa" w:w="2556"/>
            <w:vAlign w:val="center"/>
            <w:shd w:fill="F1EAF5"/>
          </w:tcPr>
          <w:p>
            <w:r>
              <w:rPr>
                <w:rFonts w:ascii="Arial" w:hAnsi="Arial"/>
                <w:b/>
                <w:color w:val="302A36"/>
                <w:sz w:val="16"/>
              </w:rPr>
              <w:t>Team ID</w:t>
            </w:r>
          </w:p>
        </w:tc>
        <w:tc>
          <w:tcPr>
            <w:tcW w:type="dxa" w:w="2556"/>
            <w:vAlign w:val="center"/>
            <w:shd w:fill="F1EAF5"/>
          </w:tcPr>
          <w:p>
            <w:r>
              <w:rPr>
                <w:rFonts w:ascii="Arial" w:hAnsi="Arial"/>
                <w:b w:val="0"/>
                <w:color w:val="302A36"/>
                <w:sz w:val="16"/>
              </w:rPr>
              <w:t>6abab5f0ad6b12298106a12a</w:t>
            </w:r>
          </w:p>
        </w:tc>
      </w:tr>
      <w:tr>
        <w:tc>
          <w:tcPr>
            <w:tcW w:type="dxa" w:w="2556"/>
            <w:vAlign w:val="center"/>
            <w:shd w:fill="F1EAF5"/>
          </w:tcPr>
          <w:p>
            <w:r>
              <w:rPr>
                <w:rFonts w:ascii="Arial" w:hAnsi="Arial"/>
                <w:b/>
                <w:color w:val="302A36"/>
                <w:sz w:val="16"/>
              </w:rPr>
              <w:t>Project Name</w:t>
            </w:r>
          </w:p>
        </w:tc>
        <w:tc>
          <w:tcPr>
            <w:tcW w:type="dxa" w:w="2556"/>
            <w:vAlign w:val="center"/>
            <w:shd w:fill="F1EAF5"/>
          </w:tcPr>
          <w:p>
            <w:r>
              <w:rPr>
                <w:rFonts w:ascii="Arial" w:hAnsi="Arial"/>
                <w:b w:val="0"/>
                <w:color w:val="302A36"/>
                <w:sz w:val="16"/>
              </w:rPr>
              <w:t>Auto Ticket Classification Using Flow Designer</w:t>
            </w:r>
          </w:p>
        </w:tc>
        <w:tc>
          <w:tcPr>
            <w:tcW w:type="dxa" w:w="2556"/>
            <w:vAlign w:val="center"/>
            <w:shd w:fill="F1EAF5"/>
          </w:tcPr>
          <w:p>
            <w:r>
              <w:rPr>
                <w:rFonts w:ascii="Arial" w:hAnsi="Arial"/>
                <w:b/>
                <w:color w:val="302A36"/>
                <w:sz w:val="16"/>
              </w:rPr>
              <w:t>Maximum Marks</w:t>
            </w:r>
          </w:p>
        </w:tc>
        <w:tc>
          <w:tcPr>
            <w:tcW w:type="dxa" w:w="2556"/>
            <w:vAlign w:val="center"/>
            <w:shd w:fill="F1EAF5"/>
          </w:tcPr>
          <w:p>
            <w:r>
              <w:rPr>
                <w:rFonts w:ascii="Arial" w:hAnsi="Arial"/>
                <w:b w:val="0"/>
                <w:color w:val="302A36"/>
                <w:sz w:val="16"/>
              </w:rPr>
              <w:t>2 Marks</w:t>
            </w:r>
          </w:p>
        </w:tc>
      </w:tr>
    </w:tbl>
    <w:p>
      <w:r>
        <w:t>Proposed design: begin with transparent rules and human review for exceptions. Confirm ServiceNow products, licensing, data fields, governance and baseline measures before implementation.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3D2A56"/>
            <w:tcMar>
              <w:top w:w="95" w:type="dxa"/>
              <w:start w:w="100" w:type="dxa"/>
              <w:bottom w:w="95" w:type="dxa"/>
              <w:end w:w="100" w:type="dxa"/>
            </w:tcMar>
          </w:tcPr>
          <w:p>
            <w:r>
              <w:rPr>
                <w:rFonts w:ascii="Arial" w:hAnsi="Arial"/>
                <w:b/>
                <w:color w:val="FFFFFF"/>
                <w:sz w:val="16"/>
              </w:rPr>
              <w:t>S.No.</w:t>
            </w:r>
          </w:p>
        </w:tc>
        <w:tc>
          <w:tcPr>
            <w:tcW w:type="dxa" w:w="2520"/>
            <w:shd w:fill="3D2A56"/>
            <w:tcMar>
              <w:top w:w="95" w:type="dxa"/>
              <w:start w:w="100" w:type="dxa"/>
              <w:bottom w:w="95" w:type="dxa"/>
              <w:end w:w="100" w:type="dxa"/>
            </w:tcMar>
          </w:tcPr>
          <w:p>
            <w:r>
              <w:rPr>
                <w:rFonts w:ascii="Arial" w:hAnsi="Arial"/>
                <w:b/>
                <w:color w:val="FFFFFF"/>
                <w:sz w:val="16"/>
              </w:rPr>
              <w:t>Parameter</w:t>
            </w:r>
          </w:p>
        </w:tc>
        <w:tc>
          <w:tcPr>
            <w:tcW w:type="dxa" w:w="6840"/>
            <w:shd w:fill="3D2A56"/>
            <w:tcMar>
              <w:top w:w="95" w:type="dxa"/>
              <w:start w:w="100" w:type="dxa"/>
              <w:bottom w:w="95" w:type="dxa"/>
              <w:end w:w="100" w:type="dxa"/>
            </w:tcMar>
          </w:tcPr>
          <w:p>
            <w:r>
              <w:rPr>
                <w:rFonts w:ascii="Arial" w:hAnsi="Arial"/>
                <w:b/>
                <w:color w:val="FFFFFF"/>
                <w:sz w:val="16"/>
              </w:rPr>
              <w:t>Description</w:t>
            </w:r>
          </w:p>
        </w:tc>
      </w:tr>
      <w:tr>
        <w:tc>
          <w:tcPr>
            <w:tcW w:type="dxa" w:w="792"/>
            <w:vAlign w:val="top"/>
            <w:shd w:fill="7651A8"/>
            <w:tcMar>
              <w:top w:w="95" w:type="dxa"/>
              <w:start w:w="100" w:type="dxa"/>
              <w:bottom w:w="95" w:type="dxa"/>
              <w:end w:w="100" w:type="dxa"/>
            </w:tcMar>
          </w:tcPr>
          <w:p>
            <w:pPr>
              <w:spacing w:after="40" w:line="240" w:lineRule="auto"/>
            </w:pPr>
            <w:r>
              <w:rPr>
                <w:rFonts w:ascii="Arial" w:hAnsi="Arial"/>
                <w:b w:val="0"/>
                <w:color w:val="FFFFFF"/>
                <w:sz w:val="16"/>
              </w:rPr>
              <w:t>1</w:t>
            </w:r>
          </w:p>
        </w:tc>
        <w:tc>
          <w:tcPr>
            <w:tcW w:type="dxa" w:w="2520"/>
            <w:vAlign w:val="top"/>
            <w:shd w:fill="FFFFFF"/>
            <w:tcMar>
              <w:top w:w="95" w:type="dxa"/>
              <w:start w:w="100" w:type="dxa"/>
              <w:bottom w:w="95" w:type="dxa"/>
              <w:end w:w="100" w:type="dxa"/>
            </w:tcMar>
          </w:tcPr>
          <w:p>
            <w:pPr>
              <w:spacing w:after="40" w:line="240" w:lineRule="auto"/>
            </w:pPr>
            <w:r>
              <w:rPr>
                <w:rFonts w:ascii="Arial" w:hAnsi="Arial"/>
                <w:b/>
                <w:color w:val="302A36"/>
                <w:sz w:val="16"/>
              </w:rPr>
              <w:t>1. Problem Statement (Problem to be solved)</w:t>
            </w:r>
          </w:p>
        </w:tc>
        <w:tc>
          <w:tcPr>
            <w:tcW w:type="dxa" w:w="6840"/>
            <w:vAlign w:val="top"/>
            <w:shd w:fill="FFFFFF"/>
            <w:tcMar>
              <w:top w:w="95" w:type="dxa"/>
              <w:start w:w="100" w:type="dxa"/>
              <w:bottom w:w="95" w:type="dxa"/>
              <w:end w:w="100" w:type="dxa"/>
            </w:tcMar>
          </w:tcPr>
          <w:p>
            <w:pPr>
              <w:spacing w:after="40" w:line="240" w:lineRule="auto"/>
            </w:pPr>
            <w:r>
              <w:rPr>
                <w:rFonts w:ascii="Arial" w:hAnsi="Arial"/>
                <w:b w:val="0"/>
                <w:color w:val="302A36"/>
                <w:sz w:val="16"/>
              </w:rPr>
              <w:t>Service-desk agents manually classify and route incoming tickets. Descriptions and categories vary, so tickets can be misrouted, reassigned, and delayed. Requesters may not know which category or details to provide. The project targets slower triage and inconsistent first assignment.</w:t>
            </w:r>
          </w:p>
        </w:tc>
      </w:tr>
      <w:tr>
        <w:tc>
          <w:tcPr>
            <w:tcW w:type="dxa" w:w="792"/>
            <w:vAlign w:val="top"/>
            <w:shd w:fill="7651A8"/>
            <w:tcMar>
              <w:top w:w="95" w:type="dxa"/>
              <w:start w:w="100" w:type="dxa"/>
              <w:bottom w:w="95" w:type="dxa"/>
              <w:end w:w="100" w:type="dxa"/>
            </w:tcMar>
          </w:tcPr>
          <w:p>
            <w:pPr>
              <w:spacing w:after="40" w:line="240" w:lineRule="auto"/>
            </w:pPr>
            <w:r>
              <w:rPr>
                <w:rFonts w:ascii="Arial" w:hAnsi="Arial"/>
                <w:b w:val="0"/>
                <w:color w:val="FFFFFF"/>
                <w:sz w:val="16"/>
              </w:rPr>
              <w:t>2</w:t>
            </w:r>
          </w:p>
        </w:tc>
        <w:tc>
          <w:tcPr>
            <w:tcW w:type="dxa" w:w="2520"/>
            <w:vAlign w:val="top"/>
            <w:shd w:fill="FAF7FC"/>
            <w:tcMar>
              <w:top w:w="95" w:type="dxa"/>
              <w:start w:w="100" w:type="dxa"/>
              <w:bottom w:w="95" w:type="dxa"/>
              <w:end w:w="100" w:type="dxa"/>
            </w:tcMar>
          </w:tcPr>
          <w:p>
            <w:pPr>
              <w:spacing w:after="40" w:line="240" w:lineRule="auto"/>
            </w:pPr>
            <w:r>
              <w:rPr>
                <w:rFonts w:ascii="Arial" w:hAnsi="Arial"/>
                <w:b/>
                <w:color w:val="302A36"/>
                <w:sz w:val="16"/>
              </w:rPr>
              <w:t>2. Idea / Solution description</w:t>
            </w:r>
          </w:p>
        </w:tc>
        <w:tc>
          <w:tcPr>
            <w:tcW w:type="dxa" w:w="6840"/>
            <w:vAlign w:val="top"/>
            <w:shd w:fill="FAF7FC"/>
            <w:tcMar>
              <w:top w:w="95" w:type="dxa"/>
              <w:start w:w="100" w:type="dxa"/>
              <w:bottom w:w="95" w:type="dxa"/>
              <w:end w:w="100" w:type="dxa"/>
            </w:tcMar>
          </w:tcPr>
          <w:p>
            <w:pPr>
              <w:spacing w:after="40" w:line="240" w:lineRule="auto"/>
            </w:pPr>
            <w:r>
              <w:rPr>
                <w:rFonts w:ascii="Arial" w:hAnsi="Arial"/>
                <w:b w:val="0"/>
                <w:color w:val="302A36"/>
                <w:sz w:val="16"/>
              </w:rPr>
              <w:t>Configure ServiceNow Flow Designer to validate agreed ticket fields, apply transparent rules to selected high-volume ticket types, suggest category and assignment group, then route eligible tickets. Send incomplete, unmatched, or uncertain cases to a human triage queue. Preserve agent override and record rule/version and routing outcomes.</w:t>
            </w:r>
          </w:p>
        </w:tc>
      </w:tr>
      <w:tr>
        <w:tc>
          <w:tcPr>
            <w:tcW w:type="dxa" w:w="792"/>
            <w:vAlign w:val="top"/>
            <w:shd w:fill="7651A8"/>
            <w:tcMar>
              <w:top w:w="95" w:type="dxa"/>
              <w:start w:w="100" w:type="dxa"/>
              <w:bottom w:w="95" w:type="dxa"/>
              <w:end w:w="100" w:type="dxa"/>
            </w:tcMar>
          </w:tcPr>
          <w:p>
            <w:pPr>
              <w:spacing w:after="40" w:line="240" w:lineRule="auto"/>
            </w:pPr>
            <w:r>
              <w:rPr>
                <w:rFonts w:ascii="Arial" w:hAnsi="Arial"/>
                <w:b w:val="0"/>
                <w:color w:val="FFFFFF"/>
                <w:sz w:val="16"/>
              </w:rPr>
              <w:t>3</w:t>
            </w:r>
          </w:p>
        </w:tc>
        <w:tc>
          <w:tcPr>
            <w:tcW w:type="dxa" w:w="2520"/>
            <w:vAlign w:val="top"/>
            <w:shd w:fill="FFFFFF"/>
            <w:tcMar>
              <w:top w:w="95" w:type="dxa"/>
              <w:start w:w="100" w:type="dxa"/>
              <w:bottom w:w="95" w:type="dxa"/>
              <w:end w:w="100" w:type="dxa"/>
            </w:tcMar>
          </w:tcPr>
          <w:p>
            <w:pPr>
              <w:spacing w:after="40" w:line="240" w:lineRule="auto"/>
            </w:pPr>
            <w:r>
              <w:rPr>
                <w:rFonts w:ascii="Arial" w:hAnsi="Arial"/>
                <w:b/>
                <w:color w:val="302A36"/>
                <w:sz w:val="16"/>
              </w:rPr>
              <w:t>3. Novelty / Uniqueness</w:t>
            </w:r>
          </w:p>
        </w:tc>
        <w:tc>
          <w:tcPr>
            <w:tcW w:type="dxa" w:w="6840"/>
            <w:vAlign w:val="top"/>
            <w:shd w:fill="FFFFFF"/>
            <w:tcMar>
              <w:top w:w="95" w:type="dxa"/>
              <w:start w:w="100" w:type="dxa"/>
              <w:bottom w:w="95" w:type="dxa"/>
              <w:end w:w="100" w:type="dxa"/>
            </w:tcMar>
          </w:tcPr>
          <w:p>
            <w:pPr>
              <w:spacing w:after="40" w:line="240" w:lineRule="auto"/>
            </w:pPr>
            <w:r>
              <w:rPr>
                <w:rFonts w:ascii="Arial" w:hAnsi="Arial"/>
                <w:b w:val="0"/>
                <w:color w:val="302A36"/>
                <w:sz w:val="16"/>
              </w:rPr>
              <w:t>Combines existing ticket data and governed Flow Designer automation with an explicit human fallback and feedback loop. The differentiator is explainable, measurable routing that protects agent decisions. Optional prediction can be considered only if the instance supports it and representative labeled data passes validation.</w:t>
            </w:r>
          </w:p>
        </w:tc>
      </w:tr>
      <w:tr>
        <w:tc>
          <w:tcPr>
            <w:tcW w:type="dxa" w:w="792"/>
            <w:vAlign w:val="top"/>
            <w:shd w:fill="7651A8"/>
            <w:tcMar>
              <w:top w:w="95" w:type="dxa"/>
              <w:start w:w="100" w:type="dxa"/>
              <w:bottom w:w="95" w:type="dxa"/>
              <w:end w:w="100" w:type="dxa"/>
            </w:tcMar>
          </w:tcPr>
          <w:p>
            <w:pPr>
              <w:spacing w:after="40" w:line="240" w:lineRule="auto"/>
            </w:pPr>
            <w:r>
              <w:rPr>
                <w:rFonts w:ascii="Arial" w:hAnsi="Arial"/>
                <w:b w:val="0"/>
                <w:color w:val="FFFFFF"/>
                <w:sz w:val="16"/>
              </w:rPr>
              <w:t>4</w:t>
            </w:r>
          </w:p>
        </w:tc>
        <w:tc>
          <w:tcPr>
            <w:tcW w:type="dxa" w:w="2520"/>
            <w:vAlign w:val="top"/>
            <w:shd w:fill="FAF7FC"/>
            <w:tcMar>
              <w:top w:w="95" w:type="dxa"/>
              <w:start w:w="100" w:type="dxa"/>
              <w:bottom w:w="95" w:type="dxa"/>
              <w:end w:w="100" w:type="dxa"/>
            </w:tcMar>
          </w:tcPr>
          <w:p>
            <w:pPr>
              <w:spacing w:after="40" w:line="240" w:lineRule="auto"/>
            </w:pPr>
            <w:r>
              <w:rPr>
                <w:rFonts w:ascii="Arial" w:hAnsi="Arial"/>
                <w:b/>
                <w:color w:val="302A36"/>
                <w:sz w:val="16"/>
              </w:rPr>
              <w:t>4. Social Impact / Customer Satisfaction</w:t>
            </w:r>
          </w:p>
        </w:tc>
        <w:tc>
          <w:tcPr>
            <w:tcW w:type="dxa" w:w="6840"/>
            <w:vAlign w:val="top"/>
            <w:shd w:fill="FAF7FC"/>
            <w:tcMar>
              <w:top w:w="95" w:type="dxa"/>
              <w:start w:w="100" w:type="dxa"/>
              <w:bottom w:w="95" w:type="dxa"/>
              <w:end w:w="100" w:type="dxa"/>
            </w:tcMar>
          </w:tcPr>
          <w:p>
            <w:pPr>
              <w:spacing w:after="40" w:line="240" w:lineRule="auto"/>
            </w:pPr>
            <w:r>
              <w:rPr>
                <w:rFonts w:ascii="Arial" w:hAnsi="Arial"/>
                <w:b w:val="0"/>
                <w:color w:val="302A36"/>
                <w:sz w:val="16"/>
              </w:rPr>
              <w:t>Potentially reduces avoidable handoffs and time spent waiting for correct ownership, while letting agents focus on resolution. Requesters can receive clearer confirmation and updates. Track first-assignment accuracy, time to assignment, reassignment, overrides, fallback volume, and satisfaction; validate benefits in a pilot.</w:t>
            </w:r>
          </w:p>
        </w:tc>
      </w:tr>
      <w:tr>
        <w:tc>
          <w:tcPr>
            <w:tcW w:type="dxa" w:w="792"/>
            <w:vAlign w:val="top"/>
            <w:shd w:fill="7651A8"/>
            <w:tcMar>
              <w:top w:w="95" w:type="dxa"/>
              <w:start w:w="100" w:type="dxa"/>
              <w:bottom w:w="95" w:type="dxa"/>
              <w:end w:w="100" w:type="dxa"/>
            </w:tcMar>
          </w:tcPr>
          <w:p>
            <w:pPr>
              <w:spacing w:after="40" w:line="240" w:lineRule="auto"/>
            </w:pPr>
            <w:r>
              <w:rPr>
                <w:rFonts w:ascii="Arial" w:hAnsi="Arial"/>
                <w:b w:val="0"/>
                <w:color w:val="FFFFFF"/>
                <w:sz w:val="16"/>
              </w:rPr>
              <w:t>5</w:t>
            </w:r>
          </w:p>
        </w:tc>
        <w:tc>
          <w:tcPr>
            <w:tcW w:type="dxa" w:w="2520"/>
            <w:vAlign w:val="top"/>
            <w:shd w:fill="FFFFFF"/>
            <w:tcMar>
              <w:top w:w="95" w:type="dxa"/>
              <w:start w:w="100" w:type="dxa"/>
              <w:bottom w:w="95" w:type="dxa"/>
              <w:end w:w="100" w:type="dxa"/>
            </w:tcMar>
          </w:tcPr>
          <w:p>
            <w:pPr>
              <w:spacing w:after="40" w:line="240" w:lineRule="auto"/>
            </w:pPr>
            <w:r>
              <w:rPr>
                <w:rFonts w:ascii="Arial" w:hAnsi="Arial"/>
                <w:b/>
                <w:color w:val="302A36"/>
                <w:sz w:val="16"/>
              </w:rPr>
              <w:t>5. Business Model (Revenue Model)</w:t>
            </w:r>
          </w:p>
        </w:tc>
        <w:tc>
          <w:tcPr>
            <w:tcW w:type="dxa" w:w="6840"/>
            <w:vAlign w:val="top"/>
            <w:shd w:fill="FFFFFF"/>
            <w:tcMar>
              <w:top w:w="95" w:type="dxa"/>
              <w:start w:w="100" w:type="dxa"/>
              <w:bottom w:w="95" w:type="dxa"/>
              <w:end w:w="100" w:type="dxa"/>
            </w:tcMar>
          </w:tcPr>
          <w:p>
            <w:pPr>
              <w:spacing w:after="40" w:line="240" w:lineRule="auto"/>
            </w:pPr>
            <w:r>
              <w:rPr>
                <w:rFonts w:ascii="Arial" w:hAnsi="Arial"/>
                <w:b w:val="0"/>
                <w:color w:val="302A36"/>
                <w:sz w:val="16"/>
              </w:rPr>
              <w:t>Internal service improvement rather than a direct revenue product. Value is measured through lower manual triage effort, reduced rework, and improved service experience. If offered as a managed capability, costs may be recovered through an internal service budget or subscription/implementation fee, subject to organizational policy.</w:t>
            </w:r>
          </w:p>
        </w:tc>
      </w:tr>
      <w:tr>
        <w:tc>
          <w:tcPr>
            <w:tcW w:type="dxa" w:w="792"/>
            <w:vAlign w:val="top"/>
            <w:shd w:fill="7651A8"/>
            <w:tcMar>
              <w:top w:w="95" w:type="dxa"/>
              <w:start w:w="100" w:type="dxa"/>
              <w:bottom w:w="95" w:type="dxa"/>
              <w:end w:w="100" w:type="dxa"/>
            </w:tcMar>
          </w:tcPr>
          <w:p>
            <w:pPr>
              <w:spacing w:after="40" w:line="240" w:lineRule="auto"/>
            </w:pPr>
            <w:r>
              <w:rPr>
                <w:rFonts w:ascii="Arial" w:hAnsi="Arial"/>
                <w:b w:val="0"/>
                <w:color w:val="FFFFFF"/>
                <w:sz w:val="16"/>
              </w:rPr>
              <w:t>6</w:t>
            </w:r>
          </w:p>
        </w:tc>
        <w:tc>
          <w:tcPr>
            <w:tcW w:type="dxa" w:w="2520"/>
            <w:vAlign w:val="top"/>
            <w:shd w:fill="FAF7FC"/>
            <w:tcMar>
              <w:top w:w="95" w:type="dxa"/>
              <w:start w:w="100" w:type="dxa"/>
              <w:bottom w:w="95" w:type="dxa"/>
              <w:end w:w="100" w:type="dxa"/>
            </w:tcMar>
          </w:tcPr>
          <w:p>
            <w:pPr>
              <w:spacing w:after="40" w:line="240" w:lineRule="auto"/>
            </w:pPr>
            <w:r>
              <w:rPr>
                <w:rFonts w:ascii="Arial" w:hAnsi="Arial"/>
                <w:b/>
                <w:color w:val="302A36"/>
                <w:sz w:val="16"/>
              </w:rPr>
              <w:t>6. Scalability of the Solution</w:t>
            </w:r>
          </w:p>
        </w:tc>
        <w:tc>
          <w:tcPr>
            <w:tcW w:type="dxa" w:w="6840"/>
            <w:vAlign w:val="top"/>
            <w:shd w:fill="FAF7FC"/>
            <w:tcMar>
              <w:top w:w="95" w:type="dxa"/>
              <w:start w:w="100" w:type="dxa"/>
              <w:bottom w:w="95" w:type="dxa"/>
              <w:end w:w="100" w:type="dxa"/>
            </w:tcMar>
          </w:tcPr>
          <w:p>
            <w:pPr>
              <w:spacing w:after="40" w:line="240" w:lineRule="auto"/>
            </w:pPr>
            <w:r>
              <w:rPr>
                <w:rFonts w:ascii="Arial" w:hAnsi="Arial"/>
                <w:b w:val="0"/>
                <w:color w:val="302A36"/>
                <w:sz w:val="16"/>
              </w:rPr>
              <w:t>Start with a small set of high-volume, low-risk categories and expand through configurable, version-controlled rules. Reuse shared validation, logging, and fallback patterns across groups. Scale only after volume, flow limits, licensing, access controls, and category-level accuracy are reviewed with the ServiceNow platform owner.</w:t>
            </w:r>
          </w:p>
        </w:tc>
      </w:tr>
    </w:tbl>
    <w:sectPr w:rsidR="00FC693F" w:rsidRPr="0006063C" w:rsidSect="00034616">
      <w:headerReference w:type="default" r:id="rId9"/>
      <w:footerReference w:type="default" r:id="rId10"/>
      <w:pgSz w:w="12240" w:h="15840"/>
      <w:pgMar w:top="936"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302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b/>
      <w:color w:val="3D2A5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 - Auto Ticket Classification Using Flow Designer</dc:title>
  <dc:subject>Project design phase proposed solution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