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18A20"/>
          <w:sz w:val="16"/>
        </w:rPr>
        <w:t>PROJECT DESIGN PHASE  /  SOLUTION ARCHITECTURE</w:t>
      </w:r>
    </w:p>
    <w:p>
      <w:pPr>
        <w:pStyle w:val="Title"/>
      </w:pPr>
      <w:r>
        <w:t>Solution Architecture</w:t>
      </w:r>
    </w:p>
    <w:p>
      <w:pPr>
        <w:spacing w:after="120"/>
      </w:pPr>
      <w:r>
        <w:rPr>
          <w:color w:val="6D6473"/>
          <w:sz w:val="17"/>
        </w:rPr>
        <w:t>Project Title: Auto Ticket Classification Using Flow Designer  |  Logical architecture and proposed data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168"/>
        <w:gridCol w:w="2880"/>
        <w:gridCol w:w="3168"/>
      </w:tblGrid>
      <w:tr>
        <w:trPr>
          <w:tblHeader w:val="true"/>
        </w:trPr>
        <w:tc>
          <w:tcPr>
            <w:tcW w:type="dxa" w:w="2880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168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Team ID</w:t>
            </w:r>
          </w:p>
        </w:tc>
        <w:tc>
          <w:tcPr>
            <w:tcW w:type="dxa" w:w="2880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Maximum Marks</w:t>
            </w:r>
          </w:p>
        </w:tc>
        <w:tc>
          <w:tcPr>
            <w:tcW w:type="dxa" w:w="3168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</w:tr>
      <w:tr>
        <w:tc>
          <w:tcPr>
            <w:tcW w:type="dxa" w:w="288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3 October 2026</w:t>
            </w:r>
          </w:p>
        </w:tc>
        <w:tc>
          <w:tcPr>
            <w:tcW w:type="dxa" w:w="3168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6abab5f0ad6b12298106a12a</w:t>
            </w:r>
          </w:p>
        </w:tc>
        <w:tc>
          <w:tcPr>
            <w:tcW w:type="dxa" w:w="288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4 Marks</w:t>
            </w:r>
          </w:p>
        </w:tc>
        <w:tc>
          <w:tcPr>
            <w:tcW w:type="dxa" w:w="3168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Proposed design</w:t>
            </w:r>
          </w:p>
        </w:tc>
      </w:tr>
    </w:tbl>
    <w:p>
      <w:pPr>
        <w:pStyle w:val="Heading2"/>
      </w:pPr>
      <w:r>
        <w:t>Architecture overview</w:t>
      </w:r>
    </w:p>
    <w:p>
      <w:r>
        <w:t>The proposed design automates repeatable ticket validation, classification, and assignment inside a ServiceNow environment. Agents remain responsible for uncertain cases and can correct any suggested result. Prediction is optional and depends on supported platform capability, licensing, approved data, and validation.</w:t>
      </w:r>
    </w:p>
    <w:p>
      <w:pPr>
        <w:pStyle w:val="Heading2"/>
      </w:pPr>
      <w:r>
        <w:t>Proposed data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952"/>
        <w:gridCol w:w="4320"/>
        <w:gridCol w:w="2880"/>
      </w:tblGrid>
      <w:tr>
        <w:trPr>
          <w:tblHeader w:val="true"/>
        </w:trPr>
        <w:tc>
          <w:tcPr>
            <w:tcW w:type="dxa" w:w="1944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952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4320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Processing</w:t>
            </w:r>
          </w:p>
        </w:tc>
        <w:tc>
          <w:tcPr>
            <w:tcW w:type="dxa" w:w="2880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Output / control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Requester channel</w:t>
            </w:r>
          </w:p>
        </w:tc>
        <w:tc>
          <w:tcPr>
            <w:tcW w:type="dxa" w:w="2952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Issue details from portal, email or approved chat</w:t>
            </w:r>
          </w:p>
        </w:tc>
        <w:tc>
          <w:tcPr>
            <w:tcW w:type="dxa" w:w="432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Submit an incident/request; retain original text</w:t>
            </w:r>
          </w:p>
        </w:tc>
        <w:tc>
          <w:tcPr>
            <w:tcW w:type="dxa" w:w="288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Ticket created</w:t>
            </w:r>
          </w:p>
        </w:tc>
      </w:tr>
      <w:tr>
        <w:tc>
          <w:tcPr>
            <w:tcW w:type="dxa" w:w="1944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Ticket intake</w:t>
            </w:r>
          </w:p>
        </w:tc>
        <w:tc>
          <w:tcPr>
            <w:tcW w:type="dxa" w:w="2952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New or updated record</w:t>
            </w:r>
          </w:p>
        </w:tc>
        <w:tc>
          <w:tcPr>
            <w:tcW w:type="dxa" w:w="432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Validate required fields and supported ticket type</w:t>
            </w:r>
          </w:p>
        </w:tc>
        <w:tc>
          <w:tcPr>
            <w:tcW w:type="dxa" w:w="288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Eligible fields passed to flow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Flow Designer</w:t>
            </w:r>
          </w:p>
        </w:tc>
        <w:tc>
          <w:tcPr>
            <w:tcW w:type="dxa" w:w="2952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Validated ticket fields</w:t>
            </w:r>
          </w:p>
        </w:tc>
        <w:tc>
          <w:tcPr>
            <w:tcW w:type="dxa" w:w="432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Apply approved category logic and routing conditions</w:t>
            </w:r>
          </w:p>
        </w:tc>
        <w:tc>
          <w:tcPr>
            <w:tcW w:type="dxa" w:w="288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Category and assignment suggestion</w:t>
            </w:r>
          </w:p>
        </w:tc>
      </w:tr>
      <w:tr>
        <w:tc>
          <w:tcPr>
            <w:tcW w:type="dxa" w:w="1944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Classification</w:t>
            </w:r>
          </w:p>
        </w:tc>
        <w:tc>
          <w:tcPr>
            <w:tcW w:type="dxa" w:w="2952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Rules; optional validated model</w:t>
            </w:r>
          </w:p>
        </w:tc>
        <w:tc>
          <w:tcPr>
            <w:tcW w:type="dxa" w:w="432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Classify selected, in-scope ticket types</w:t>
            </w:r>
          </w:p>
        </w:tc>
        <w:tc>
          <w:tcPr>
            <w:tcW w:type="dxa" w:w="288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Unmatched/uncertain -&gt; human queue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Agent review</w:t>
            </w:r>
          </w:p>
        </w:tc>
        <w:tc>
          <w:tcPr>
            <w:tcW w:type="dxa" w:w="2952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Ticket and suggestion</w:t>
            </w:r>
          </w:p>
        </w:tc>
        <w:tc>
          <w:tcPr>
            <w:tcW w:type="dxa" w:w="432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Accept, correct, investigate and resolve</w:t>
            </w:r>
          </w:p>
        </w:tc>
        <w:tc>
          <w:tcPr>
            <w:tcW w:type="dxa" w:w="288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Agent choice preserved and audited</w:t>
            </w:r>
          </w:p>
        </w:tc>
      </w:tr>
      <w:tr>
        <w:tc>
          <w:tcPr>
            <w:tcW w:type="dxa" w:w="1944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Monitoring</w:t>
            </w:r>
          </w:p>
        </w:tc>
        <w:tc>
          <w:tcPr>
            <w:tcW w:type="dxa" w:w="2952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Flow and resolution outcomes</w:t>
            </w:r>
          </w:p>
        </w:tc>
        <w:tc>
          <w:tcPr>
            <w:tcW w:type="dxa" w:w="432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Measure accuracy, timing, errors and feedback</w:t>
            </w:r>
          </w:p>
        </w:tc>
        <w:tc>
          <w:tcPr>
            <w:tcW w:type="dxa" w:w="288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Service owner review</w:t>
            </w:r>
          </w:p>
        </w:tc>
      </w:tr>
    </w:tbl>
    <w:p>
      <w:r>
        <w:t>Figure 1. Logical architecture and data flow. Confirm exact ServiceNow applications, tables, roles, and integration points for the target instance.</w:t>
      </w:r>
    </w:p>
    <w:p>
      <w:r>
        <w:br w:type="page"/>
      </w:r>
    </w:p>
    <w:p>
      <w:pPr>
        <w:spacing w:after="40"/>
      </w:pPr>
      <w:r>
        <w:rPr>
          <w:b/>
          <w:color w:val="D18A20"/>
          <w:sz w:val="16"/>
        </w:rPr>
        <w:t>PROJECT DESIGN PHASE  /  SOLUTION ARCHITECTURE</w:t>
      </w:r>
    </w:p>
    <w:p>
      <w:pPr>
        <w:pStyle w:val="Title"/>
      </w:pPr>
      <w:r>
        <w:t>Components and Controls</w:t>
      </w:r>
    </w:p>
    <w:p>
      <w:pPr>
        <w:spacing w:after="120"/>
      </w:pPr>
      <w:r>
        <w:rPr>
          <w:color w:val="6D6473"/>
          <w:sz w:val="17"/>
        </w:rPr>
        <w:t>Project Title: Auto Ticket Classification Using Flow Designer  |  Implementation notes and rollout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168"/>
        <w:gridCol w:w="2880"/>
        <w:gridCol w:w="3168"/>
      </w:tblGrid>
      <w:tr>
        <w:trPr>
          <w:tblHeader w:val="true"/>
        </w:trPr>
        <w:tc>
          <w:tcPr>
            <w:tcW w:type="dxa" w:w="2880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168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Team ID</w:t>
            </w:r>
          </w:p>
        </w:tc>
        <w:tc>
          <w:tcPr>
            <w:tcW w:type="dxa" w:w="2880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Maximum Marks</w:t>
            </w:r>
          </w:p>
        </w:tc>
        <w:tc>
          <w:tcPr>
            <w:tcW w:type="dxa" w:w="3168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</w:tr>
      <w:tr>
        <w:tc>
          <w:tcPr>
            <w:tcW w:type="dxa" w:w="288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3 October 2026</w:t>
            </w:r>
          </w:p>
        </w:tc>
        <w:tc>
          <w:tcPr>
            <w:tcW w:type="dxa" w:w="3168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6abab5f0ad6b12298106a12a</w:t>
            </w:r>
          </w:p>
        </w:tc>
        <w:tc>
          <w:tcPr>
            <w:tcW w:type="dxa" w:w="288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4 Marks</w:t>
            </w:r>
          </w:p>
        </w:tc>
        <w:tc>
          <w:tcPr>
            <w:tcW w:type="dxa" w:w="3168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Proposed design</w:t>
            </w:r>
          </w:p>
        </w:tc>
      </w:tr>
    </w:tbl>
    <w:p>
      <w:pPr>
        <w:pStyle w:val="Heading2"/>
      </w:pPr>
      <w:r>
        <w:t>Component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320"/>
        <w:gridCol w:w="5400"/>
      </w:tblGrid>
      <w:tr>
        <w:trPr>
          <w:tblHeader w:val="true"/>
        </w:trPr>
        <w:tc>
          <w:tcPr>
            <w:tcW w:type="dxa" w:w="2376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4320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5400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Design approach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Requester channels</w:t>
            </w:r>
          </w:p>
        </w:tc>
        <w:tc>
          <w:tcPr>
            <w:tcW w:type="dxa" w:w="432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Portal, Employee Center, email, or approved chat intake.</w:t>
            </w:r>
          </w:p>
        </w:tc>
        <w:tc>
          <w:tcPr>
            <w:tcW w:type="dxa" w:w="540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Existing ServiceNow entry points; retain original requester text and required metadata.</w:t>
            </w:r>
          </w:p>
        </w:tc>
      </w:tr>
      <w:tr>
        <w:tc>
          <w:tcPr>
            <w:tcW w:type="dxa" w:w="2376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Ticket record</w:t>
            </w:r>
          </w:p>
        </w:tc>
        <w:tc>
          <w:tcPr>
            <w:tcW w:type="dxa" w:w="432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Incident/request data, category, status, assignment and audit references.</w:t>
            </w:r>
          </w:p>
        </w:tc>
        <w:tc>
          <w:tcPr>
            <w:tcW w:type="dxa" w:w="540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Use approved tables and fields; avoid collecting unnecessary personal data.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Flow Designer</w:t>
            </w:r>
          </w:p>
        </w:tc>
        <w:tc>
          <w:tcPr>
            <w:tcW w:type="dxa" w:w="432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Trigger, validation, decisions, routing, notifications and exception handling.</w:t>
            </w:r>
          </w:p>
        </w:tc>
        <w:tc>
          <w:tcPr>
            <w:tcW w:type="dxa" w:w="540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Use guarded conditions and idempotent actions; prevent processing loops or duplicate updates.</w:t>
            </w:r>
          </w:p>
        </w:tc>
      </w:tr>
      <w:tr>
        <w:tc>
          <w:tcPr>
            <w:tcW w:type="dxa" w:w="2376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Classification logic</w:t>
            </w:r>
          </w:p>
        </w:tc>
        <w:tc>
          <w:tcPr>
            <w:tcW w:type="dxa" w:w="432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Transparent category/group mappings for selected ticket types.</w:t>
            </w:r>
          </w:p>
        </w:tc>
        <w:tc>
          <w:tcPr>
            <w:tcW w:type="dxa" w:w="540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Use controlled rules initially; optional supported prediction only after validation and approval.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Agent workspace</w:t>
            </w:r>
          </w:p>
        </w:tc>
        <w:tc>
          <w:tcPr>
            <w:tcW w:type="dxa" w:w="432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Review suggested result, correct it, investigate and resolve.</w:t>
            </w:r>
          </w:p>
        </w:tc>
        <w:tc>
          <w:tcPr>
            <w:tcW w:type="dxa" w:w="540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Agent override takes precedence; retain correction history.</w:t>
            </w:r>
          </w:p>
        </w:tc>
      </w:tr>
      <w:tr>
        <w:tc>
          <w:tcPr>
            <w:tcW w:type="dxa" w:w="2376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Monitoring and feedback</w:t>
            </w:r>
          </w:p>
        </w:tc>
        <w:tc>
          <w:tcPr>
            <w:tcW w:type="dxa" w:w="432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Measure accuracy, timing, reassignments, overrides, fallback and errors.</w:t>
            </w:r>
          </w:p>
        </w:tc>
        <w:tc>
          <w:tcPr>
            <w:tcW w:type="dxa" w:w="540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Review category-level results regularly; manage rule/model changes through change control.</w:t>
            </w:r>
          </w:p>
        </w:tc>
      </w:tr>
    </w:tbl>
    <w:p>
      <w:pPr>
        <w:pStyle w:val="Heading2"/>
      </w:pPr>
      <w:r>
        <w:t>Quality attributes and safeguards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9720"/>
      </w:tblGrid>
      <w:tr>
        <w:trPr>
          <w:tblHeader w:val="true"/>
        </w:trPr>
        <w:tc>
          <w:tcPr>
            <w:tcW w:type="dxa" w:w="2376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Attribute</w:t>
            </w:r>
          </w:p>
        </w:tc>
        <w:tc>
          <w:tcPr>
            <w:tcW w:type="dxa" w:w="9720"/>
            <w:vAlign w:val="top"/>
            <w:shd w:fill="3D2A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Safeguard / design consideration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Security &amp; privacy</w:t>
            </w:r>
          </w:p>
        </w:tc>
        <w:tc>
          <w:tcPr>
            <w:tcW w:type="dxa" w:w="972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Least-privilege roles and field access; follow platform encryption, retention, and audit policy. Use ticket data for classification or model training only with approval.</w:t>
            </w:r>
          </w:p>
        </w:tc>
      </w:tr>
      <w:tr>
        <w:tc>
          <w:tcPr>
            <w:tcW w:type="dxa" w:w="2376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Reliability</w:t>
            </w:r>
          </w:p>
        </w:tc>
        <w:tc>
          <w:tcPr>
            <w:tcW w:type="dxa" w:w="972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If automation fails, retain the ticket and route it to human triage. Log failures and support safe, idempotent retry.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Performance</w:t>
            </w:r>
          </w:p>
        </w:tc>
        <w:tc>
          <w:tcPr>
            <w:tcW w:type="dxa" w:w="972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Keep ticket submission responsive; establish a baseline and agree a routing latency target before pilot.</w:t>
            </w:r>
          </w:p>
        </w:tc>
      </w:tr>
      <w:tr>
        <w:tc>
          <w:tcPr>
            <w:tcW w:type="dxa" w:w="2376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Availability</w:t>
            </w:r>
          </w:p>
        </w:tc>
        <w:tc>
          <w:tcPr>
            <w:tcW w:type="dxa" w:w="972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Rely on the contracted platform service levels and maintain a manual triage path if the flow is unavailable.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Explainability</w:t>
            </w:r>
          </w:p>
        </w:tc>
        <w:tc>
          <w:tcPr>
            <w:tcW w:type="dxa" w:w="9720"/>
            <w:vAlign w:val="top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Record the applied rule/model version and show the suggestion and rationale where supported.</w:t>
            </w:r>
          </w:p>
        </w:tc>
      </w:tr>
      <w:tr>
        <w:tc>
          <w:tcPr>
            <w:tcW w:type="dxa" w:w="2376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Scale &amp; change</w:t>
            </w:r>
          </w:p>
        </w:tc>
        <w:tc>
          <w:tcPr>
            <w:tcW w:type="dxa" w:w="9720"/>
            <w:vAlign w:val="top"/>
            <w:shd w:fill="FAF7F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5"/>
              </w:rPr>
              <w:t>Start with high-volume, low-risk categories. Expand after measured results and review of volume, licensing, platform limits, and operations readiness.</w:t>
            </w:r>
          </w:p>
        </w:tc>
      </w:tr>
    </w:tbl>
    <w:p>
      <w:pPr>
        <w:spacing w:before="100"/>
      </w:pPr>
      <w:r>
        <w:rPr>
          <w:b/>
        </w:rPr>
        <w:t xml:space="preserve">Proposed rollout: </w:t>
      </w:r>
      <w:r>
        <w:t>discovery and baseline -&gt; configure and validate rules in non-production -&gt; limited pilot with human fallback -&gt; assess results -&gt; expand categories or evaluate prediction if justified.</w:t>
      </w:r>
    </w:p>
    <w:p>
      <w:r>
        <w:rPr>
          <w:b/>
        </w:rPr>
        <w:t xml:space="preserve">Open decisions: </w:t>
      </w:r>
      <w:r>
        <w:t>confirm ServiceNow version/products and licensing; ticket types and taxonomy; source channels; approved fields; fallback queue owner; performance targets; access/retention rules; and pilot success thresholds.</w:t>
      </w:r>
    </w:p>
    <w:sectPr w:rsidR="00FC693F" w:rsidRPr="0006063C" w:rsidSect="00034616">
      <w:footerReference w:type="default" r:id="rId9"/>
      <w:headerReference w:type="default" r:id="rId10"/>
      <w:pgSz w:w="16848" w:h="11952" w:orient="landscape"/>
      <w:pgMar w:top="691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6473"/>
        <w:sz w:val="14"/>
      </w:rPr>
      <w:t>PROJECT DESIGN PHASE  |  SOLUTION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- Auto Ticket Classification Using Flow Designer</dc:title>
  <dc:subject>Solution architecture and data flow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