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D18A20"/>
          <w:sz w:val="16"/>
        </w:rPr>
        <w:t>PROJECT DEVELOPMENT PHASE  /  TESTING</w:t>
      </w:r>
    </w:p>
    <w:p>
      <w:pPr>
        <w:pStyle w:val="Title"/>
      </w:pPr>
      <w:r>
        <w:t>Artificial Intelligence Performance Test</w:t>
      </w:r>
    </w:p>
    <w:p>
      <w:pPr>
        <w:spacing w:after="120"/>
      </w:pPr>
      <w:r>
        <w:rPr>
          <w:color w:val="6D6473"/>
          <w:sz w:val="16"/>
        </w:rPr>
        <w:t>Project Title: Auto Ticket Classification Using Flow Designer  |  Date: 3 October 2026  |  Team ID: 6abab5f0ad6b12298106a12a  |  Performance evidence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16"/>
        <w:gridCol w:w="3816"/>
        <w:gridCol w:w="3816"/>
        <w:gridCol w:w="3816"/>
      </w:tblGrid>
      <w:tr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Date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3 October 2026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Team ID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6abab5f0ad6b12298106a12a</w:t>
            </w:r>
          </w:p>
        </w:tc>
      </w:tr>
      <w:tr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Project Name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Auto Ticket Classification Using Flow Designer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Scope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Conditional AI evaluation plan</w:t>
            </w:r>
          </w:p>
        </w:tc>
      </w:tr>
    </w:tbl>
    <w:p>
      <w:r>
        <w:t>AI is not required for the initial rules-based design. The fields below define evidence to collect only if an approved predictive capability is later selected. No training, fine-tuning, or AI accuracy result is represented as completed.</w:t>
      </w:r>
    </w:p>
    <w:p>
      <w:pPr>
        <w:pStyle w:val="Heading2"/>
      </w:pPr>
      <w:r>
        <w:t>AI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4"/>
        <w:gridCol w:w="3219"/>
        <w:gridCol w:w="7725"/>
        <w:gridCol w:w="2575"/>
      </w:tblGrid>
      <w:tr>
        <w:trPr>
          <w:tblHeader w:val="true"/>
        </w:trPr>
        <w:tc>
          <w:tcPr>
            <w:tcW w:type="dxa" w:w="1674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S.No.</w:t>
            </w:r>
          </w:p>
        </w:tc>
        <w:tc>
          <w:tcPr>
            <w:tcW w:type="dxa" w:w="3219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Parameter</w:t>
            </w:r>
          </w:p>
        </w:tc>
        <w:tc>
          <w:tcPr>
            <w:tcW w:type="dxa" w:w="7725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Project-specific result / evidence</w:t>
            </w:r>
          </w:p>
        </w:tc>
        <w:tc>
          <w:tcPr>
            <w:tcW w:type="dxa" w:w="2575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674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1</w:t>
            </w:r>
          </w:p>
        </w:tc>
        <w:tc>
          <w:tcPr>
            <w:tcW w:type="dxa" w:w="3219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Model summary</w:t>
            </w:r>
          </w:p>
        </w:tc>
        <w:tc>
          <w:tcPr>
            <w:tcW w:type="dxa" w:w="772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Initial solution is rules-based Flow Designer automation. Predictive AI is optional and has not been selected.</w:t>
            </w:r>
          </w:p>
        </w:tc>
        <w:tc>
          <w:tcPr>
            <w:tcW w:type="dxa" w:w="257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 AI model results available</w:t>
            </w:r>
          </w:p>
        </w:tc>
      </w:tr>
      <w:tr>
        <w:tc>
          <w:tcPr>
            <w:tcW w:type="dxa" w:w="1674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2</w:t>
            </w:r>
          </w:p>
        </w:tc>
        <w:tc>
          <w:tcPr>
            <w:tcW w:type="dxa" w:w="3219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Training accuracy</w:t>
            </w:r>
          </w:p>
        </w:tc>
        <w:tc>
          <w:tcPr>
            <w:tcW w:type="dxa" w:w="772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Only report if an approved model is trained; include data version and sample size.</w:t>
            </w:r>
          </w:p>
        </w:tc>
        <w:tc>
          <w:tcPr>
            <w:tcW w:type="dxa" w:w="257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applicable / not measured</w:t>
            </w:r>
          </w:p>
        </w:tc>
      </w:tr>
      <w:tr>
        <w:tc>
          <w:tcPr>
            <w:tcW w:type="dxa" w:w="1674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3</w:t>
            </w:r>
          </w:p>
        </w:tc>
        <w:tc>
          <w:tcPr>
            <w:tcW w:type="dxa" w:w="3219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Validation accuracy</w:t>
            </w:r>
          </w:p>
        </w:tc>
        <w:tc>
          <w:tcPr>
            <w:tcW w:type="dxa" w:w="772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Report alongside per-class precision, recall, F1, confusion matrix and baseline.</w:t>
            </w:r>
          </w:p>
        </w:tc>
        <w:tc>
          <w:tcPr>
            <w:tcW w:type="dxa" w:w="257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applicable / not measured</w:t>
            </w:r>
          </w:p>
        </w:tc>
      </w:tr>
      <w:tr>
        <w:tc>
          <w:tcPr>
            <w:tcW w:type="dxa" w:w="1674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4</w:t>
            </w:r>
          </w:p>
        </w:tc>
        <w:tc>
          <w:tcPr>
            <w:tcW w:type="dxa" w:w="3219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Fine-tuning result</w:t>
            </w:r>
          </w:p>
        </w:tc>
        <w:tc>
          <w:tcPr>
            <w:tcW w:type="dxa" w:w="772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Use approved parameters and held-out evaluation; document any changes and comparison.</w:t>
            </w:r>
          </w:p>
        </w:tc>
        <w:tc>
          <w:tcPr>
            <w:tcW w:type="dxa" w:w="257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performed</w:t>
            </w:r>
          </w:p>
        </w:tc>
      </w:tr>
      <w:tr>
        <w:tc>
          <w:tcPr>
            <w:tcW w:type="dxa" w:w="1674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5</w:t>
            </w:r>
          </w:p>
        </w:tc>
        <w:tc>
          <w:tcPr>
            <w:tcW w:type="dxa" w:w="3219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Confidence / fallback</w:t>
            </w:r>
          </w:p>
        </w:tc>
        <w:tc>
          <w:tcPr>
            <w:tcW w:type="dxa" w:w="772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If supported, calibrate confidence threshold and send uncertain tickets to human triage.</w:t>
            </w:r>
          </w:p>
        </w:tc>
        <w:tc>
          <w:tcPr>
            <w:tcW w:type="dxa" w:w="257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configured / not measured</w:t>
            </w:r>
          </w:p>
        </w:tc>
      </w:tr>
    </w:tbl>
    <w:p/>
    <w:p>
      <w:pPr>
        <w:pStyle w:val="Heading2"/>
      </w:pPr>
      <w:r>
        <w:t>Release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17"/>
        <w:gridCol w:w="11575"/>
      </w:tblGrid>
      <w:tr>
        <w:trPr>
          <w:tblHeader w:val="true"/>
        </w:trPr>
        <w:tc>
          <w:tcPr>
            <w:tcW w:type="dxa" w:w="3617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Decision area</w:t>
            </w:r>
          </w:p>
        </w:tc>
        <w:tc>
          <w:tcPr>
            <w:tcW w:type="dxa" w:w="11575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Required evidence</w:t>
            </w:r>
          </w:p>
        </w:tc>
      </w:tr>
      <w:tr>
        <w:tc>
          <w:tcPr>
            <w:tcW w:type="dxa" w:w="3617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Data readiness</w:t>
            </w:r>
          </w:p>
        </w:tc>
        <w:tc>
          <w:tcPr>
            <w:tcW w:type="dxa" w:w="1157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Approved representative labeled data, privacy review, leakage-safe splits and class distribution.</w:t>
            </w:r>
          </w:p>
        </w:tc>
      </w:tr>
      <w:tr>
        <w:tc>
          <w:tcPr>
            <w:tcW w:type="dxa" w:w="3617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Go / no-go</w:t>
            </w:r>
          </w:p>
        </w:tc>
        <w:tc>
          <w:tcPr>
            <w:tcW w:type="dxa" w:w="1157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Service-owner-approved thresholds, fallback coverage, monitored pilot, and rollback plan.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48" w:h="11952" w:orient="landscape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302A36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D2A56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 Performance Test - Auto Ticket Classification Using Flow Designer</dc:title>
  <dc:subject>Conditional AI evaluation plan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