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D18A20"/>
          <w:sz w:val="16"/>
        </w:rPr>
        <w:t>PROJECT DEVELOPMENT PHASE  /  TESTING</w:t>
      </w:r>
    </w:p>
    <w:p>
      <w:pPr>
        <w:pStyle w:val="Title"/>
      </w:pPr>
      <w:r>
        <w:t>Machine Learning Model Performance Test</w:t>
      </w:r>
    </w:p>
    <w:p>
      <w:pPr>
        <w:spacing w:after="120"/>
      </w:pPr>
      <w:r>
        <w:rPr>
          <w:color w:val="6D6473"/>
          <w:sz w:val="16"/>
        </w:rPr>
        <w:t>Project Title: Auto Ticket Classification Using Flow Designer  |  Date: 3 October 2026  |  Team ID: 6abab5f0ad6b12298106a12a  |  10 Marks template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816"/>
        <w:gridCol w:w="3816"/>
        <w:gridCol w:w="3816"/>
        <w:gridCol w:w="3816"/>
      </w:tblGrid>
      <w:tr>
        <w:tc>
          <w:tcPr>
            <w:tcW w:type="dxa" w:w="3816"/>
            <w:vAlign w:val="top"/>
            <w:shd w:fill="F1EAF5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302A36"/>
                <w:sz w:val="14"/>
              </w:rPr>
              <w:t>Date</w:t>
            </w:r>
          </w:p>
        </w:tc>
        <w:tc>
          <w:tcPr>
            <w:tcW w:type="dxa" w:w="3816"/>
            <w:vAlign w:val="top"/>
            <w:shd w:fill="F1EAF5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3 October 2026</w:t>
            </w:r>
          </w:p>
        </w:tc>
        <w:tc>
          <w:tcPr>
            <w:tcW w:type="dxa" w:w="3816"/>
            <w:vAlign w:val="top"/>
            <w:shd w:fill="F1EAF5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302A36"/>
                <w:sz w:val="14"/>
              </w:rPr>
              <w:t>Team ID</w:t>
            </w:r>
          </w:p>
        </w:tc>
        <w:tc>
          <w:tcPr>
            <w:tcW w:type="dxa" w:w="3816"/>
            <w:vAlign w:val="top"/>
            <w:shd w:fill="F1EAF5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6abab5f0ad6b12298106a12a</w:t>
            </w:r>
          </w:p>
        </w:tc>
      </w:tr>
      <w:tr>
        <w:tc>
          <w:tcPr>
            <w:tcW w:type="dxa" w:w="3816"/>
            <w:vAlign w:val="top"/>
            <w:shd w:fill="F1EAF5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302A36"/>
                <w:sz w:val="14"/>
              </w:rPr>
              <w:t>Project Name</w:t>
            </w:r>
          </w:p>
        </w:tc>
        <w:tc>
          <w:tcPr>
            <w:tcW w:type="dxa" w:w="3816"/>
            <w:vAlign w:val="top"/>
            <w:shd w:fill="F1EAF5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Auto Ticket Classification Using Flow Designer</w:t>
            </w:r>
          </w:p>
        </w:tc>
        <w:tc>
          <w:tcPr>
            <w:tcW w:type="dxa" w:w="3816"/>
            <w:vAlign w:val="top"/>
            <w:shd w:fill="F1EAF5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302A36"/>
                <w:sz w:val="14"/>
              </w:rPr>
              <w:t>Scope</w:t>
            </w:r>
          </w:p>
        </w:tc>
        <w:tc>
          <w:tcPr>
            <w:tcW w:type="dxa" w:w="3816"/>
            <w:vAlign w:val="top"/>
            <w:shd w:fill="F1EAF5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Conditional classifier evaluation plan</w:t>
            </w:r>
          </w:p>
        </w:tc>
      </w:tr>
    </w:tbl>
    <w:p>
      <w:r>
        <w:t>The first release is proposed as transparent Flow Designer rules. Machine-learning evaluation applies only if a supported, licensed classifier and approved labeled dataset are selected. No model has been trained and no performance values are available.</w:t>
      </w:r>
    </w:p>
    <w:p>
      <w:pPr>
        <w:pStyle w:val="Heading2"/>
      </w:pPr>
      <w:r>
        <w:t>Model evaluation metrics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4"/>
        <w:gridCol w:w="3219"/>
        <w:gridCol w:w="7725"/>
        <w:gridCol w:w="2575"/>
      </w:tblGrid>
      <w:tr>
        <w:trPr>
          <w:tblHeader w:val="true"/>
        </w:trPr>
        <w:tc>
          <w:tcPr>
            <w:tcW w:type="dxa" w:w="1674"/>
            <w:vAlign w:val="top"/>
            <w:shd w:fill="3D2A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S.No.</w:t>
            </w:r>
          </w:p>
        </w:tc>
        <w:tc>
          <w:tcPr>
            <w:tcW w:type="dxa" w:w="3219"/>
            <w:vAlign w:val="top"/>
            <w:shd w:fill="3D2A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Parameter</w:t>
            </w:r>
          </w:p>
        </w:tc>
        <w:tc>
          <w:tcPr>
            <w:tcW w:type="dxa" w:w="7725"/>
            <w:vAlign w:val="top"/>
            <w:shd w:fill="3D2A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Method / required evidence</w:t>
            </w:r>
          </w:p>
        </w:tc>
        <w:tc>
          <w:tcPr>
            <w:tcW w:type="dxa" w:w="2575"/>
            <w:vAlign w:val="top"/>
            <w:shd w:fill="3D2A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Current value</w:t>
            </w:r>
          </w:p>
        </w:tc>
      </w:tr>
      <w:tr>
        <w:tc>
          <w:tcPr>
            <w:tcW w:type="dxa" w:w="1674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1</w:t>
            </w:r>
          </w:p>
        </w:tc>
        <w:tc>
          <w:tcPr>
            <w:tcW w:type="dxa" w:w="3219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Data split</w:t>
            </w:r>
          </w:p>
        </w:tc>
        <w:tc>
          <w:tcPr>
            <w:tcW w:type="dxa" w:w="7725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Use time-aware or ticket-level separation to prevent related tickets leaking across train/validation/test sets. Split method and sample sizes documented</w:t>
            </w:r>
          </w:p>
        </w:tc>
        <w:tc>
          <w:tcPr>
            <w:tcW w:type="dxa" w:w="2575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Not performed</w:t>
            </w:r>
          </w:p>
        </w:tc>
      </w:tr>
      <w:tr>
        <w:tc>
          <w:tcPr>
            <w:tcW w:type="dxa" w:w="1674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2</w:t>
            </w:r>
          </w:p>
        </w:tc>
        <w:tc>
          <w:tcPr>
            <w:tcW w:type="dxa" w:w="3219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Confusion matrix</w:t>
            </w:r>
          </w:p>
        </w:tc>
        <w:tc>
          <w:tcPr>
            <w:tcW w:type="dxa" w:w="7725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Report TP, FP, TN, FN per category on held-out data. Matrix and class support reported</w:t>
            </w:r>
          </w:p>
        </w:tc>
        <w:tc>
          <w:tcPr>
            <w:tcW w:type="dxa" w:w="2575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Not measured</w:t>
            </w:r>
          </w:p>
        </w:tc>
      </w:tr>
      <w:tr>
        <w:tc>
          <w:tcPr>
            <w:tcW w:type="dxa" w:w="1674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3</w:t>
            </w:r>
          </w:p>
        </w:tc>
        <w:tc>
          <w:tcPr>
            <w:tcW w:type="dxa" w:w="3219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Accuracy / precision / recall / F1</w:t>
            </w:r>
          </w:p>
        </w:tc>
        <w:tc>
          <w:tcPr>
            <w:tcW w:type="dxa" w:w="7725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Report per-class and macro/weighted scores; accuracy alone is insufficient for imbalance. Metrics calculated on held-out data and reviewed by category</w:t>
            </w:r>
          </w:p>
        </w:tc>
        <w:tc>
          <w:tcPr>
            <w:tcW w:type="dxa" w:w="2575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Not measured</w:t>
            </w:r>
          </w:p>
        </w:tc>
      </w:tr>
      <w:tr>
        <w:tc>
          <w:tcPr>
            <w:tcW w:type="dxa" w:w="1674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4</w:t>
            </w:r>
          </w:p>
        </w:tc>
        <w:tc>
          <w:tcPr>
            <w:tcW w:type="dxa" w:w="3219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Baseline comparison</w:t>
            </w:r>
          </w:p>
        </w:tc>
        <w:tc>
          <w:tcPr>
            <w:tcW w:type="dxa" w:w="7725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Compare against current routing rules or majority-class baseline. Model demonstrates agreed improvement without unacceptable regressions</w:t>
            </w:r>
          </w:p>
        </w:tc>
        <w:tc>
          <w:tcPr>
            <w:tcW w:type="dxa" w:w="2575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Not measured</w:t>
            </w:r>
          </w:p>
        </w:tc>
      </w:tr>
      <w:tr>
        <w:tc>
          <w:tcPr>
            <w:tcW w:type="dxa" w:w="1674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5</w:t>
            </w:r>
          </w:p>
        </w:tc>
        <w:tc>
          <w:tcPr>
            <w:tcW w:type="dxa" w:w="3219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Calibration / confidence</w:t>
            </w:r>
          </w:p>
        </w:tc>
        <w:tc>
          <w:tcPr>
            <w:tcW w:type="dxa" w:w="7725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Check confidence calibration and select a review threshold using validation data. Threshold supports safe human fallback</w:t>
            </w:r>
          </w:p>
        </w:tc>
        <w:tc>
          <w:tcPr>
            <w:tcW w:type="dxa" w:w="2575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Not measured</w:t>
            </w:r>
          </w:p>
        </w:tc>
      </w:tr>
      <w:tr>
        <w:tc>
          <w:tcPr>
            <w:tcW w:type="dxa" w:w="1674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6</w:t>
            </w:r>
          </w:p>
        </w:tc>
        <w:tc>
          <w:tcPr>
            <w:tcW w:type="dxa" w:w="3219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Drift / representativeness</w:t>
            </w:r>
          </w:p>
        </w:tc>
        <w:tc>
          <w:tcPr>
            <w:tcW w:type="dxa" w:w="7725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Review performance by channel, category and time period. Known gaps and monitoring approach documented</w:t>
            </w:r>
          </w:p>
        </w:tc>
        <w:tc>
          <w:tcPr>
            <w:tcW w:type="dxa" w:w="2575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Not measured</w:t>
            </w:r>
          </w:p>
        </w:tc>
      </w:tr>
    </w:tbl>
    <w:p/>
    <w:p>
      <w:pPr>
        <w:pStyle w:val="Heading2"/>
      </w:pPr>
      <w:r>
        <w:t>Tuning and validation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0"/>
        <w:gridCol w:w="8681"/>
        <w:gridCol w:w="3100"/>
      </w:tblGrid>
      <w:tr>
        <w:trPr>
          <w:tblHeader w:val="true"/>
        </w:trPr>
        <w:tc>
          <w:tcPr>
            <w:tcW w:type="dxa" w:w="3410"/>
            <w:vAlign w:val="top"/>
            <w:shd w:fill="3D2A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Parameter</w:t>
            </w:r>
          </w:p>
        </w:tc>
        <w:tc>
          <w:tcPr>
            <w:tcW w:type="dxa" w:w="8681"/>
            <w:vAlign w:val="top"/>
            <w:shd w:fill="3D2A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Plan</w:t>
            </w:r>
          </w:p>
        </w:tc>
        <w:tc>
          <w:tcPr>
            <w:tcW w:type="dxa" w:w="3100"/>
            <w:vAlign w:val="top"/>
            <w:shd w:fill="3D2A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Current status</w:t>
            </w:r>
          </w:p>
        </w:tc>
      </w:tr>
      <w:tr>
        <w:tc>
          <w:tcPr>
            <w:tcW w:type="dxa" w:w="3410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Candidate model</w:t>
            </w:r>
          </w:p>
        </w:tc>
        <w:tc>
          <w:tcPr>
            <w:tcW w:type="dxa" w:w="8681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Use only a prediction capability supported and licensed in the target ServiceNow instance.</w:t>
            </w:r>
          </w:p>
        </w:tc>
        <w:tc>
          <w:tcPr>
            <w:tcW w:type="dxa" w:w="3100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Not selected</w:t>
            </w:r>
          </w:p>
        </w:tc>
      </w:tr>
      <w:tr>
        <w:tc>
          <w:tcPr>
            <w:tcW w:type="dxa" w:w="3410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Tuning approach</w:t>
            </w:r>
          </w:p>
        </w:tc>
        <w:tc>
          <w:tcPr>
            <w:tcW w:type="dxa" w:w="8681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Tune only approved parameters using training/validation data; preserve a final untouched test set.</w:t>
            </w:r>
          </w:p>
        </w:tc>
        <w:tc>
          <w:tcPr>
            <w:tcW w:type="dxa" w:w="3100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Not performed</w:t>
            </w:r>
          </w:p>
        </w:tc>
      </w:tr>
      <w:tr>
        <w:tc>
          <w:tcPr>
            <w:tcW w:type="dxa" w:w="3410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Validation method</w:t>
            </w:r>
          </w:p>
        </w:tc>
        <w:tc>
          <w:tcPr>
            <w:tcW w:type="dxa" w:w="8681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Stratified or time-based validation appropriate to ticket history; avoid leakage.</w:t>
            </w:r>
          </w:p>
        </w:tc>
        <w:tc>
          <w:tcPr>
            <w:tcW w:type="dxa" w:w="3100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To be agreed</w:t>
            </w:r>
          </w:p>
        </w:tc>
      </w:tr>
      <w:tr>
        <w:tc>
          <w:tcPr>
            <w:tcW w:type="dxa" w:w="3410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Acceptance gate</w:t>
            </w:r>
          </w:p>
        </w:tc>
        <w:tc>
          <w:tcPr>
            <w:tcW w:type="dxa" w:w="8681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Set minimum per-class precision/recall and safe fallback coverage with service owners.</w:t>
            </w:r>
          </w:p>
        </w:tc>
        <w:tc>
          <w:tcPr>
            <w:tcW w:type="dxa" w:w="3100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Thresholds not yet agreed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6848" w:h="11952" w:orient="landscape"/>
      <w:pgMar w:top="720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color w:val="302A36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3D2A56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Machine Learning Model Performance Test - Auto Ticket Classification Using Flow Designer</dc:title>
  <dc:subject>Conditional classifier evaluation plan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