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D18A20"/>
          <w:sz w:val="16"/>
        </w:rPr>
        <w:t>PROJECT DEVELOPMENT PHASE  /  TESTING</w:t>
      </w:r>
    </w:p>
    <w:p>
      <w:pPr>
        <w:pStyle w:val="Title"/>
      </w:pPr>
      <w:r>
        <w:t>Reporting Performance Test - Power BI Template</w:t>
      </w:r>
    </w:p>
    <w:p>
      <w:pPr>
        <w:spacing w:after="120"/>
      </w:pPr>
      <w:r>
        <w:rPr>
          <w:color w:val="6D6473"/>
          <w:sz w:val="16"/>
        </w:rPr>
        <w:t>Project Title: Auto Ticket Classification Using Flow Designer  |  Date: 3 October 2026  |  Team ID: 6abab5f0ad6b12298106a12a  |  Performance evidence template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816"/>
        <w:gridCol w:w="3816"/>
        <w:gridCol w:w="3816"/>
        <w:gridCol w:w="3816"/>
      </w:tblGrid>
      <w:tr>
        <w:tc>
          <w:tcPr>
            <w:tcW w:type="dxa" w:w="3816"/>
            <w:vAlign w:val="top"/>
            <w:shd w:fill="F1EAF5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/>
                <w:color w:val="302A36"/>
                <w:sz w:val="14"/>
              </w:rPr>
              <w:t>Date</w:t>
            </w:r>
          </w:p>
        </w:tc>
        <w:tc>
          <w:tcPr>
            <w:tcW w:type="dxa" w:w="3816"/>
            <w:vAlign w:val="top"/>
            <w:shd w:fill="F1EAF5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3 October 2026</w:t>
            </w:r>
          </w:p>
        </w:tc>
        <w:tc>
          <w:tcPr>
            <w:tcW w:type="dxa" w:w="3816"/>
            <w:vAlign w:val="top"/>
            <w:shd w:fill="F1EAF5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/>
                <w:color w:val="302A36"/>
                <w:sz w:val="14"/>
              </w:rPr>
              <w:t>Team ID</w:t>
            </w:r>
          </w:p>
        </w:tc>
        <w:tc>
          <w:tcPr>
            <w:tcW w:type="dxa" w:w="3816"/>
            <w:vAlign w:val="top"/>
            <w:shd w:fill="F1EAF5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6abab5f0ad6b12298106a12a</w:t>
            </w:r>
          </w:p>
        </w:tc>
      </w:tr>
      <w:tr>
        <w:tc>
          <w:tcPr>
            <w:tcW w:type="dxa" w:w="3816"/>
            <w:vAlign w:val="top"/>
            <w:shd w:fill="F1EAF5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/>
                <w:color w:val="302A36"/>
                <w:sz w:val="14"/>
              </w:rPr>
              <w:t>Project Name</w:t>
            </w:r>
          </w:p>
        </w:tc>
        <w:tc>
          <w:tcPr>
            <w:tcW w:type="dxa" w:w="3816"/>
            <w:vAlign w:val="top"/>
            <w:shd w:fill="F1EAF5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Auto Ticket Classification Using Flow Designer</w:t>
            </w:r>
          </w:p>
        </w:tc>
        <w:tc>
          <w:tcPr>
            <w:tcW w:type="dxa" w:w="3816"/>
            <w:vAlign w:val="top"/>
            <w:shd w:fill="F1EAF5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/>
                <w:color w:val="302A36"/>
                <w:sz w:val="14"/>
              </w:rPr>
              <w:t>Scope</w:t>
            </w:r>
          </w:p>
        </w:tc>
        <w:tc>
          <w:tcPr>
            <w:tcW w:type="dxa" w:w="3816"/>
            <w:vAlign w:val="top"/>
            <w:shd w:fill="F1EAF5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Applicability and evidence plan</w:t>
            </w:r>
          </w:p>
        </w:tc>
      </w:tr>
    </w:tbl>
    <w:p>
      <w:r>
        <w:t>The proposed project uses ServiceNow reporting unless a separate Power BI integration is approved. This document adapts the supplied Power BI checklist to report validation; do not claim Power BI is deployed. Capture actual evidence only after implementation.</w:t>
      </w:r>
    </w:p>
    <w:p>
      <w:pPr>
        <w:pStyle w:val="Heading2"/>
      </w:pPr>
      <w:r>
        <w:t>Reporting checks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74"/>
        <w:gridCol w:w="3219"/>
        <w:gridCol w:w="7725"/>
        <w:gridCol w:w="2575"/>
      </w:tblGrid>
      <w:tr>
        <w:trPr>
          <w:tblHeader w:val="true"/>
        </w:trPr>
        <w:tc>
          <w:tcPr>
            <w:tcW w:type="dxa" w:w="1674"/>
            <w:vAlign w:val="top"/>
            <w:shd w:fill="3D2A56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S.No.</w:t>
            </w:r>
          </w:p>
        </w:tc>
        <w:tc>
          <w:tcPr>
            <w:tcW w:type="dxa" w:w="3219"/>
            <w:vAlign w:val="top"/>
            <w:shd w:fill="3D2A56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Parameter</w:t>
            </w:r>
          </w:p>
        </w:tc>
        <w:tc>
          <w:tcPr>
            <w:tcW w:type="dxa" w:w="7725"/>
            <w:vAlign w:val="top"/>
            <w:shd w:fill="3D2A56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Project application / evidence</w:t>
            </w:r>
          </w:p>
        </w:tc>
        <w:tc>
          <w:tcPr>
            <w:tcW w:type="dxa" w:w="2575"/>
            <w:vAlign w:val="top"/>
            <w:shd w:fill="3D2A56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Status</w:t>
            </w:r>
          </w:p>
        </w:tc>
      </w:tr>
      <w:tr>
        <w:tc>
          <w:tcPr>
            <w:tcW w:type="dxa" w:w="1674"/>
            <w:vAlign w:val="top"/>
            <w:shd w:fill="FFFFFF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1</w:t>
            </w:r>
          </w:p>
        </w:tc>
        <w:tc>
          <w:tcPr>
            <w:tcW w:type="dxa" w:w="3219"/>
            <w:vAlign w:val="top"/>
            <w:shd w:fill="FFFFFF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Data rendered</w:t>
            </w:r>
          </w:p>
        </w:tc>
        <w:tc>
          <w:tcPr>
            <w:tcW w:type="dxa" w:w="7725"/>
            <w:vAlign w:val="top"/>
            <w:shd w:fill="FFFFFF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Verify representative ticket data, totals and refresh timestamp. Counts and values reconcile to the approved source; no unsupported claims.</w:t>
            </w:r>
          </w:p>
        </w:tc>
        <w:tc>
          <w:tcPr>
            <w:tcW w:type="dxa" w:w="2575"/>
            <w:vAlign w:val="top"/>
            <w:shd w:fill="FFFFFF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Not measured</w:t>
            </w:r>
          </w:p>
        </w:tc>
      </w:tr>
      <w:tr>
        <w:tc>
          <w:tcPr>
            <w:tcW w:type="dxa" w:w="1674"/>
            <w:vAlign w:val="top"/>
            <w:shd w:fill="FAF7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2</w:t>
            </w:r>
          </w:p>
        </w:tc>
        <w:tc>
          <w:tcPr>
            <w:tcW w:type="dxa" w:w="3219"/>
            <w:vAlign w:val="top"/>
            <w:shd w:fill="FAF7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Data preparation</w:t>
            </w:r>
          </w:p>
        </w:tc>
        <w:tc>
          <w:tcPr>
            <w:tcW w:type="dxa" w:w="7725"/>
            <w:vAlign w:val="top"/>
            <w:shd w:fill="FAF7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Review field mapping, null handling, duplicate handling and category labels. Definitions and exclusions are documented and reproducible.</w:t>
            </w:r>
          </w:p>
        </w:tc>
        <w:tc>
          <w:tcPr>
            <w:tcW w:type="dxa" w:w="2575"/>
            <w:vAlign w:val="top"/>
            <w:shd w:fill="FAF7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Not measured</w:t>
            </w:r>
          </w:p>
        </w:tc>
      </w:tr>
      <w:tr>
        <w:tc>
          <w:tcPr>
            <w:tcW w:type="dxa" w:w="1674"/>
            <w:vAlign w:val="top"/>
            <w:shd w:fill="FFFFFF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3</w:t>
            </w:r>
          </w:p>
        </w:tc>
        <w:tc>
          <w:tcPr>
            <w:tcW w:type="dxa" w:w="3219"/>
            <w:vAlign w:val="top"/>
            <w:shd w:fill="FFFFFF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Filters / segmentation</w:t>
            </w:r>
          </w:p>
        </w:tc>
        <w:tc>
          <w:tcPr>
            <w:tcW w:type="dxa" w:w="7725"/>
            <w:vAlign w:val="top"/>
            <w:shd w:fill="FFFFFF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Filter by date, category, assignment group and status where authorized. Filters return expected records and do not bypass access controls.</w:t>
            </w:r>
          </w:p>
        </w:tc>
        <w:tc>
          <w:tcPr>
            <w:tcW w:type="dxa" w:w="2575"/>
            <w:vAlign w:val="top"/>
            <w:shd w:fill="FFFFFF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Not measured</w:t>
            </w:r>
          </w:p>
        </w:tc>
      </w:tr>
      <w:tr>
        <w:tc>
          <w:tcPr>
            <w:tcW w:type="dxa" w:w="1674"/>
            <w:vAlign w:val="top"/>
            <w:shd w:fill="FAF7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4</w:t>
            </w:r>
          </w:p>
        </w:tc>
        <w:tc>
          <w:tcPr>
            <w:tcW w:type="dxa" w:w="3219"/>
            <w:vAlign w:val="top"/>
            <w:shd w:fill="FAF7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Calculated measures</w:t>
            </w:r>
          </w:p>
        </w:tc>
        <w:tc>
          <w:tcPr>
            <w:tcW w:type="dxa" w:w="7725"/>
            <w:vAlign w:val="top"/>
            <w:shd w:fill="FAF7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Validate first-assignment accuracy, reassignment and override calculations. Results reconcile to a manually checked sample and metric definitions.</w:t>
            </w:r>
          </w:p>
        </w:tc>
        <w:tc>
          <w:tcPr>
            <w:tcW w:type="dxa" w:w="2575"/>
            <w:vAlign w:val="top"/>
            <w:shd w:fill="FAF7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Not measured</w:t>
            </w:r>
          </w:p>
        </w:tc>
      </w:tr>
      <w:tr>
        <w:tc>
          <w:tcPr>
            <w:tcW w:type="dxa" w:w="1674"/>
            <w:vAlign w:val="top"/>
            <w:shd w:fill="FFFFFF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5</w:t>
            </w:r>
          </w:p>
        </w:tc>
        <w:tc>
          <w:tcPr>
            <w:tcW w:type="dxa" w:w="3219"/>
            <w:vAlign w:val="top"/>
            <w:shd w:fill="FFFFFF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Dashboard design</w:t>
            </w:r>
          </w:p>
        </w:tc>
        <w:tc>
          <w:tcPr>
            <w:tcW w:type="dxa" w:w="7725"/>
            <w:vAlign w:val="top"/>
            <w:shd w:fill="FFFFFF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Review labels, readability, accessibility and useful breakdowns. Service owners can interpret measures and identify exceptions.</w:t>
            </w:r>
          </w:p>
        </w:tc>
        <w:tc>
          <w:tcPr>
            <w:tcW w:type="dxa" w:w="2575"/>
            <w:vAlign w:val="top"/>
            <w:shd w:fill="FFFFFF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Not measured</w:t>
            </w:r>
          </w:p>
        </w:tc>
      </w:tr>
      <w:tr>
        <w:tc>
          <w:tcPr>
            <w:tcW w:type="dxa" w:w="1674"/>
            <w:vAlign w:val="top"/>
            <w:shd w:fill="FAF7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6</w:t>
            </w:r>
          </w:p>
        </w:tc>
        <w:tc>
          <w:tcPr>
            <w:tcW w:type="dxa" w:w="3219"/>
            <w:vAlign w:val="top"/>
            <w:shd w:fill="FAF7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Refresh / response</w:t>
            </w:r>
          </w:p>
        </w:tc>
        <w:tc>
          <w:tcPr>
            <w:tcW w:type="dxa" w:w="7725"/>
            <w:vAlign w:val="top"/>
            <w:shd w:fill="FAF7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Measure refresh and interaction latency at agreed data volume. Agree targets after baseline; record observed timings.</w:t>
            </w:r>
          </w:p>
        </w:tc>
        <w:tc>
          <w:tcPr>
            <w:tcW w:type="dxa" w:w="2575"/>
            <w:vAlign w:val="top"/>
            <w:shd w:fill="FAF7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Not measured</w:t>
            </w:r>
          </w:p>
        </w:tc>
      </w:tr>
    </w:tbl>
    <w:p/>
    <w:p>
      <w:pPr>
        <w:pStyle w:val="Heading2"/>
      </w:pPr>
      <w:r>
        <w:t>Conclusion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17"/>
        <w:gridCol w:w="11575"/>
      </w:tblGrid>
      <w:tr>
        <w:trPr>
          <w:tblHeader w:val="true"/>
        </w:trPr>
        <w:tc>
          <w:tcPr>
            <w:tcW w:type="dxa" w:w="3617"/>
            <w:vAlign w:val="top"/>
            <w:shd w:fill="3D2A56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Area</w:t>
            </w:r>
          </w:p>
        </w:tc>
        <w:tc>
          <w:tcPr>
            <w:tcW w:type="dxa" w:w="11575"/>
            <w:vAlign w:val="top"/>
            <w:shd w:fill="3D2A56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Decision</w:t>
            </w:r>
          </w:p>
        </w:tc>
      </w:tr>
      <w:tr>
        <w:tc>
          <w:tcPr>
            <w:tcW w:type="dxa" w:w="3617"/>
            <w:vAlign w:val="top"/>
            <w:shd w:fill="FFFFFF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Power BI integration</w:t>
            </w:r>
          </w:p>
        </w:tc>
        <w:tc>
          <w:tcPr>
            <w:tcW w:type="dxa" w:w="11575"/>
            <w:vAlign w:val="top"/>
            <w:shd w:fill="FFFFFF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Not in the proposed solution; use this checklist for ServiceNow reports or revisit if Power BI is formally approved.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6848" w:h="11952" w:orient="landscape"/>
      <w:pgMar w:top="720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Arial" w:hAnsi="Arial"/>
      <w:color w:val="302A36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3D2A56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Reporting Performance Test - Power BI Template - Auto Ticket Classification Using Flow Designer</dc:title>
  <dc:subject>Applicability and evidence plan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