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b/>
          <w:color w:val="D18A20"/>
          <w:sz w:val="16"/>
        </w:rPr>
        <w:t>PROJECT DOCUMENTATION  /  FSD</w:t>
      </w:r>
    </w:p>
    <w:p>
      <w:pPr>
        <w:pStyle w:val="Title"/>
      </w:pPr>
      <w:r>
        <w:t>Functional Specification Document</w:t>
      </w:r>
    </w:p>
    <w:p>
      <w:pPr>
        <w:spacing w:after="140"/>
      </w:pPr>
      <w:r>
        <w:rPr>
          <w:color w:val="6D6473"/>
        </w:rPr>
        <w:t>Project: Auto Ticket Classification Using Flow Designer  |  Date: 3 October 2026  |  Team ID: 6abab5f0ad6b12298106a12a</w:t>
      </w:r>
    </w:p>
    <w:p>
      <w:pPr>
        <w:pStyle w:val="Heading1"/>
      </w:pPr>
      <w:r>
        <w:t>1. Introduction</w:t>
      </w:r>
    </w:p>
    <w:p>
      <w:r>
        <w:t>This functional specification describes a proposed ticket-classification workflow for a ServiceNow environment. It is intended for project stakeholders, service-desk agents, platform administrators, and testers. The solution aims to reduce repetitive triage while retaining agent control and a safe path for uncertain records.</w:t>
      </w:r>
    </w:p>
    <w:p>
      <w:r>
        <w:t>Project title: Auto Ticket Classification Using Flow Designer</w:t>
        <w:br/>
        <w:t>Team members and roles: 6abab5f0ad6b12298106a12a by the project team.</w:t>
        <w:br/>
        <w:t>Document status: Proposed design; implementation details require confirmation against the target ServiceNow instance.</w:t>
      </w:r>
    </w:p>
    <w:p>
      <w:pPr>
        <w:pStyle w:val="Heading1"/>
      </w:pPr>
      <w:r>
        <w:t>2. Project Overview</w:t>
      </w:r>
    </w:p>
    <w:p>
      <w:r>
        <w:t>Purpose. Validate incoming ticket fields, classify agreed ticket types consistently, and route them to the appropriate support group. A human triage queue handles incomplete, unmatched, or ambiguous tickets.</w:t>
      </w:r>
    </w:p>
    <w:p>
      <w:pPr>
        <w:pStyle w:val="ListBullet"/>
      </w:pPr>
      <w:r>
        <w:t>Accept tickets through approved existing channels.</w:t>
      </w:r>
    </w:p>
    <w:p>
      <w:pPr>
        <w:pStyle w:val="ListBullet"/>
      </w:pPr>
      <w:r>
        <w:t>Apply transparent rules to a limited set of high-volume, low-risk ticket types.</w:t>
      </w:r>
    </w:p>
    <w:p>
      <w:pPr>
        <w:pStyle w:val="ListBullet"/>
      </w:pPr>
      <w:r>
        <w:t>Preserve agent review and override, with an auditable record.</w:t>
      </w:r>
    </w:p>
    <w:p>
      <w:pPr>
        <w:pStyle w:val="ListBullet"/>
      </w:pPr>
      <w:r>
        <w:t>Measure first-assignment accuracy, time to assignment, reassignment, overrides, fallback volume, and flow failures.</w:t>
      </w:r>
    </w:p>
    <w:p>
      <w:r>
        <w:t>Scope boundary: Automatic closure, unsupported ticket types, and unreviewed high-impact decisions are outside the initial release. Prediction is optional and must pass platform, licensing, data, and validation checks.</w:t>
      </w:r>
    </w:p>
    <w:p>
      <w:pPr>
        <w:pStyle w:val="Heading1"/>
      </w:pPr>
      <w:r>
        <w:t>3. Architecture</w:t>
      </w:r>
    </w:p>
    <w:p>
      <w:r>
        <w:t>Frontend / user interface. Use the organization’s existing ServiceNow requester interface (such as Service Portal or Employee Center, if available) and agent workspace. No new React frontend is proposed.</w:t>
      </w:r>
    </w:p>
    <w:p>
      <w:r>
        <w:t>Workflow / application logic. Use Flow Designer triggers, conditions, and actions for validation, classification decisions, assignment, fallback, notifications, and controlled error handling. Exact flow design depends on the instance release and licensed products.</w:t>
      </w:r>
    </w:p>
    <w:p>
      <w:r>
        <w:t>Data storage. Use approved ServiceNow incident/request records and existing fields. Candidate signals include short description, description, service, category, subcategory, caller/requester, and channel, subject to data governance. Do not create new fields until confirmed.</w:t>
      </w:r>
    </w:p>
    <w:tbl>
      <w:tblPr>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3360"/>
            <w:shd w:fill="3D2A56"/>
          </w:tcPr>
          <w:p>
            <w:r>
              <w:rPr>
                <w:rFonts w:ascii="Arial" w:hAnsi="Arial"/>
                <w:b/>
                <w:color w:val="FFFFFF"/>
                <w:sz w:val="16"/>
              </w:rPr>
              <w:t>Logical component</w:t>
            </w:r>
          </w:p>
        </w:tc>
        <w:tc>
          <w:tcPr>
            <w:tcW w:type="dxa" w:w="3360"/>
            <w:shd w:fill="3D2A56"/>
          </w:tcPr>
          <w:p>
            <w:r>
              <w:rPr>
                <w:rFonts w:ascii="Arial" w:hAnsi="Arial"/>
                <w:b/>
                <w:color w:val="FFFFFF"/>
                <w:sz w:val="16"/>
              </w:rPr>
              <w:t>Responsibility</w:t>
            </w:r>
          </w:p>
        </w:tc>
        <w:tc>
          <w:tcPr>
            <w:tcW w:type="dxa" w:w="3360"/>
            <w:shd w:fill="3D2A56"/>
          </w:tcPr>
          <w:p>
            <w:r>
              <w:rPr>
                <w:rFonts w:ascii="Arial" w:hAnsi="Arial"/>
                <w:b/>
                <w:color w:val="FFFFFF"/>
                <w:sz w:val="16"/>
              </w:rPr>
              <w:t>Design note</w:t>
            </w:r>
          </w:p>
        </w:tc>
      </w:tr>
      <w:tr>
        <w:tc>
          <w:tcPr>
            <w:tcW w:type="dxa" w:w="3360"/>
            <w:shd w:fill="FFFFFF"/>
          </w:tcPr>
          <w:p>
            <w:pPr>
              <w:spacing w:after="20" w:line="240" w:lineRule="auto"/>
            </w:pPr>
            <w:r>
              <w:rPr>
                <w:rFonts w:ascii="Arial" w:hAnsi="Arial"/>
                <w:color w:val="302A36"/>
                <w:sz w:val="16"/>
              </w:rPr>
              <w:t>Ticket intake</w:t>
            </w:r>
          </w:p>
        </w:tc>
        <w:tc>
          <w:tcPr>
            <w:tcW w:type="dxa" w:w="3360"/>
            <w:shd w:fill="FFFFFF"/>
          </w:tcPr>
          <w:p>
            <w:pPr>
              <w:spacing w:after="20" w:line="240" w:lineRule="auto"/>
            </w:pPr>
            <w:r>
              <w:rPr>
                <w:rFonts w:ascii="Arial" w:hAnsi="Arial"/>
                <w:color w:val="302A36"/>
                <w:sz w:val="16"/>
              </w:rPr>
              <w:t>Receive and retain ticket content</w:t>
            </w:r>
          </w:p>
        </w:tc>
        <w:tc>
          <w:tcPr>
            <w:tcW w:type="dxa" w:w="3360"/>
            <w:shd w:fill="FFFFFF"/>
          </w:tcPr>
          <w:p>
            <w:pPr>
              <w:spacing w:after="20" w:line="240" w:lineRule="auto"/>
            </w:pPr>
            <w:r>
              <w:rPr>
                <w:rFonts w:ascii="Arial" w:hAnsi="Arial"/>
                <w:color w:val="302A36"/>
                <w:sz w:val="16"/>
              </w:rPr>
              <w:t>Keep requester-entered text; validate required fields.</w:t>
            </w:r>
          </w:p>
        </w:tc>
      </w:tr>
      <w:tr>
        <w:tc>
          <w:tcPr>
            <w:tcW w:type="dxa" w:w="3360"/>
            <w:shd w:fill="FAF7FC"/>
          </w:tcPr>
          <w:p>
            <w:pPr>
              <w:spacing w:after="20" w:line="240" w:lineRule="auto"/>
            </w:pPr>
            <w:r>
              <w:rPr>
                <w:rFonts w:ascii="Arial" w:hAnsi="Arial"/>
                <w:color w:val="302A36"/>
                <w:sz w:val="16"/>
              </w:rPr>
              <w:t>Flow Designer</w:t>
            </w:r>
          </w:p>
        </w:tc>
        <w:tc>
          <w:tcPr>
            <w:tcW w:type="dxa" w:w="3360"/>
            <w:shd w:fill="FAF7FC"/>
          </w:tcPr>
          <w:p>
            <w:pPr>
              <w:spacing w:after="20" w:line="240" w:lineRule="auto"/>
            </w:pPr>
            <w:r>
              <w:rPr>
                <w:rFonts w:ascii="Arial" w:hAnsi="Arial"/>
                <w:color w:val="302A36"/>
                <w:sz w:val="16"/>
              </w:rPr>
              <w:t>Orchestrate processing</w:t>
            </w:r>
          </w:p>
        </w:tc>
        <w:tc>
          <w:tcPr>
            <w:tcW w:type="dxa" w:w="3360"/>
            <w:shd w:fill="FAF7FC"/>
          </w:tcPr>
          <w:p>
            <w:pPr>
              <w:spacing w:after="20" w:line="240" w:lineRule="auto"/>
            </w:pPr>
            <w:r>
              <w:rPr>
                <w:rFonts w:ascii="Arial" w:hAnsi="Arial"/>
                <w:color w:val="302A36"/>
                <w:sz w:val="16"/>
              </w:rPr>
              <w:t>Guard triggers, avoid loops and duplicate actions, log failures.</w:t>
            </w:r>
          </w:p>
        </w:tc>
      </w:tr>
      <w:tr>
        <w:tc>
          <w:tcPr>
            <w:tcW w:type="dxa" w:w="3360"/>
            <w:shd w:fill="FFFFFF"/>
          </w:tcPr>
          <w:p>
            <w:pPr>
              <w:spacing w:after="20" w:line="240" w:lineRule="auto"/>
            </w:pPr>
            <w:r>
              <w:rPr>
                <w:rFonts w:ascii="Arial" w:hAnsi="Arial"/>
                <w:color w:val="302A36"/>
                <w:sz w:val="16"/>
              </w:rPr>
              <w:t>Classification</w:t>
            </w:r>
          </w:p>
        </w:tc>
        <w:tc>
          <w:tcPr>
            <w:tcW w:type="dxa" w:w="3360"/>
            <w:shd w:fill="FFFFFF"/>
          </w:tcPr>
          <w:p>
            <w:pPr>
              <w:spacing w:after="20" w:line="240" w:lineRule="auto"/>
            </w:pPr>
            <w:r>
              <w:rPr>
                <w:rFonts w:ascii="Arial" w:hAnsi="Arial"/>
                <w:color w:val="302A36"/>
                <w:sz w:val="16"/>
              </w:rPr>
              <w:t>Select category and group</w:t>
            </w:r>
          </w:p>
        </w:tc>
        <w:tc>
          <w:tcPr>
            <w:tcW w:type="dxa" w:w="3360"/>
            <w:shd w:fill="FFFFFF"/>
          </w:tcPr>
          <w:p>
            <w:pPr>
              <w:spacing w:after="20" w:line="240" w:lineRule="auto"/>
            </w:pPr>
            <w:r>
              <w:rPr>
                <w:rFonts w:ascii="Arial" w:hAnsi="Arial"/>
                <w:color w:val="302A36"/>
                <w:sz w:val="16"/>
              </w:rPr>
              <w:t>Start with controlled rules; optional prediction after approval.</w:t>
            </w:r>
          </w:p>
        </w:tc>
      </w:tr>
      <w:tr>
        <w:tc>
          <w:tcPr>
            <w:tcW w:type="dxa" w:w="3360"/>
            <w:shd w:fill="FAF7FC"/>
          </w:tcPr>
          <w:p>
            <w:pPr>
              <w:spacing w:after="20" w:line="240" w:lineRule="auto"/>
            </w:pPr>
            <w:r>
              <w:rPr>
                <w:rFonts w:ascii="Arial" w:hAnsi="Arial"/>
                <w:color w:val="302A36"/>
                <w:sz w:val="16"/>
              </w:rPr>
              <w:t>Agent workspace</w:t>
            </w:r>
          </w:p>
        </w:tc>
        <w:tc>
          <w:tcPr>
            <w:tcW w:type="dxa" w:w="3360"/>
            <w:shd w:fill="FAF7FC"/>
          </w:tcPr>
          <w:p>
            <w:pPr>
              <w:spacing w:after="20" w:line="240" w:lineRule="auto"/>
            </w:pPr>
            <w:r>
              <w:rPr>
                <w:rFonts w:ascii="Arial" w:hAnsi="Arial"/>
                <w:color w:val="302A36"/>
                <w:sz w:val="16"/>
              </w:rPr>
              <w:t>Review and correct</w:t>
            </w:r>
          </w:p>
        </w:tc>
        <w:tc>
          <w:tcPr>
            <w:tcW w:type="dxa" w:w="3360"/>
            <w:shd w:fill="FAF7FC"/>
          </w:tcPr>
          <w:p>
            <w:pPr>
              <w:spacing w:after="20" w:line="240" w:lineRule="auto"/>
            </w:pPr>
            <w:r>
              <w:rPr>
                <w:rFonts w:ascii="Arial" w:hAnsi="Arial"/>
                <w:color w:val="302A36"/>
                <w:sz w:val="16"/>
              </w:rPr>
              <w:t>Agent decisions remain authoritative.</w:t>
            </w:r>
          </w:p>
        </w:tc>
      </w:tr>
      <w:tr>
        <w:tc>
          <w:tcPr>
            <w:tcW w:type="dxa" w:w="3360"/>
            <w:shd w:fill="FFFFFF"/>
          </w:tcPr>
          <w:p>
            <w:pPr>
              <w:spacing w:after="20" w:line="240" w:lineRule="auto"/>
            </w:pPr>
            <w:r>
              <w:rPr>
                <w:rFonts w:ascii="Arial" w:hAnsi="Arial"/>
                <w:color w:val="302A36"/>
                <w:sz w:val="16"/>
              </w:rPr>
              <w:t>Monitoring</w:t>
            </w:r>
          </w:p>
        </w:tc>
        <w:tc>
          <w:tcPr>
            <w:tcW w:type="dxa" w:w="3360"/>
            <w:shd w:fill="FFFFFF"/>
          </w:tcPr>
          <w:p>
            <w:pPr>
              <w:spacing w:after="20" w:line="240" w:lineRule="auto"/>
            </w:pPr>
            <w:r>
              <w:rPr>
                <w:rFonts w:ascii="Arial" w:hAnsi="Arial"/>
                <w:color w:val="302A36"/>
                <w:sz w:val="16"/>
              </w:rPr>
              <w:t>Measure quality and operations</w:t>
            </w:r>
          </w:p>
        </w:tc>
        <w:tc>
          <w:tcPr>
            <w:tcW w:type="dxa" w:w="3360"/>
            <w:shd w:fill="FFFFFF"/>
          </w:tcPr>
          <w:p>
            <w:pPr>
              <w:spacing w:after="20" w:line="240" w:lineRule="auto"/>
            </w:pPr>
            <w:r>
              <w:rPr>
                <w:rFonts w:ascii="Arial" w:hAnsi="Arial"/>
                <w:color w:val="302A36"/>
                <w:sz w:val="16"/>
              </w:rPr>
              <w:t>Use agreed reports and category-level review.</w:t>
            </w:r>
          </w:p>
        </w:tc>
      </w:tr>
    </w:tbl>
    <w:p>
      <w:pPr>
        <w:pStyle w:val="Heading1"/>
      </w:pPr>
      <w:r>
        <w:t>4. Setup Instructions</w:t>
      </w:r>
    </w:p>
    <w:p>
      <w:r>
        <w:t>Prerequisites to confirm: ServiceNow instance and release; Flow Designer availability and licensing; non-production environment; approved roles and access; in-scope ticket types and taxonomy; field ownership; fallback queue; and change-management process.</w:t>
      </w:r>
    </w:p>
    <w:p>
      <w:pPr>
        <w:pStyle w:val="ListBullet"/>
      </w:pPr>
      <w:r>
        <w:t>Confirm the development and test instances and authorized administrator accounts.</w:t>
      </w:r>
    </w:p>
    <w:p>
      <w:pPr>
        <w:pStyle w:val="ListBullet"/>
      </w:pPr>
      <w:r>
        <w:t>Document current routing rules and collect an approved baseline of ticket outcomes.</w:t>
      </w:r>
    </w:p>
    <w:p>
      <w:pPr>
        <w:pStyle w:val="ListBullet"/>
      </w:pPr>
      <w:r>
        <w:t>Configure and review flow logic in a non-production instance.</w:t>
      </w:r>
    </w:p>
    <w:p>
      <w:pPr>
        <w:pStyle w:val="ListBullet"/>
      </w:pPr>
      <w:r>
        <w:t>Run the acceptance and failure-path cases with representative test records.</w:t>
      </w:r>
    </w:p>
    <w:p>
      <w:pPr>
        <w:pStyle w:val="ListBullet"/>
      </w:pPr>
      <w:r>
        <w:t>Promote changes through the organization’s approved release process after sign-off.</w:t>
      </w:r>
    </w:p>
    <w:p>
      <w:r>
        <w:t>Environment variables / secrets: No custom application environment variables or credentials are specified. Do not store passwords or tokens in this document. Any integration credential must use the approved ServiceNow credential store and security process.</w:t>
      </w:r>
    </w:p>
    <w:p>
      <w:pPr>
        <w:pStyle w:val="Heading1"/>
      </w:pPr>
      <w:r>
        <w:t>5. Folder Structure</w:t>
      </w:r>
    </w:p>
    <w:p>
      <w:r>
        <w:t>The proposed design is configuration within a ServiceNow instance; there is no React client/server repository or MongoDB folder structure in scope. Organize configuration using the organization’s update set/application scope and development, test, and production environments. Record flow names, versions, owners, dependencies, and promotion history in the change record.</w:t>
      </w:r>
    </w:p>
    <w:p>
      <w:pPr>
        <w:pStyle w:val="Heading1"/>
      </w:pPr>
      <w:r>
        <w:t>6. Running the Application</w:t>
      </w:r>
    </w:p>
    <w:p>
      <w:r>
        <w:t>There is no local npm start command for this platform-native proposal. Authorized users access the configured ServiceNow instance through its approved web interface. Administrators activate the approved flow through controlled deployment after non-production testing. Instance URLs and run instructions must be supplied by the project/platform owner.</w:t>
      </w:r>
    </w:p>
    <w:p>
      <w:pPr>
        <w:pStyle w:val="Heading1"/>
      </w:pPr>
      <w:r>
        <w:t>7. API Documentation</w:t>
      </w:r>
    </w:p>
    <w:p>
      <w:r>
        <w:t>No custom REST endpoint or external API is currently specified. The initial proposal relies on Flow Designer and platform records. If an API integration is later required, document its purpose, endpoint, authentication method, request/response schema, rate limits, failure handling, and data classification before implementation.</w:t>
      </w:r>
    </w:p>
    <w:p>
      <w:pPr>
        <w:pStyle w:val="Heading1"/>
      </w:pPr>
      <w:r>
        <w:t>8. Authentication</w:t>
      </w:r>
    </w:p>
    <w:p>
      <w:r>
        <w:t>Use the organization’s existing ServiceNow identity configuration, role-based access controls, and least-privilege permissions. Exact SSO/MFA configuration, roles, field-level ACLs, audit settings, and retention rules are instance-specific and must be confirmed by the platform/security owners. Do not introduce a separate token or session design without an approved integration requirement.</w:t>
      </w:r>
    </w:p>
    <w:p>
      <w:pPr>
        <w:pStyle w:val="Heading1"/>
      </w:pPr>
      <w:r>
        <w:t>9. User Interface</w:t>
      </w:r>
    </w:p>
    <w:p>
      <w:r>
        <w:t>Requester interface: existing approved ticket form with clear labels and guidance for required details. Agent interface: show the suggested category and assignment group, provide a simple correction path, and make ownership/status visible. The document includes no implementation screenshots; add authentic screenshots after the interface is configured and approved.</w:t>
      </w:r>
    </w:p>
    <w:p>
      <w:pPr>
        <w:pStyle w:val="Heading1"/>
      </w:pPr>
      <w:r>
        <w:t>10. Testing</w:t>
      </w:r>
    </w:p>
    <w:p>
      <w:r>
        <w:t>Use controlled non-production records covering valid tickets, missing data, rule matches, no match, ambiguity, agent override, repeated triggers, unauthorized configuration, notifications, and flow failure. Record actual outcomes, evidence, defect severity, and tester sign-off during execution. No test execution results are asserted here.</w:t>
      </w:r>
    </w:p>
    <w:p>
      <w:pPr>
        <w:pStyle w:val="Heading1"/>
      </w:pPr>
      <w:r>
        <w:t>11. Screenshots or Demo</w:t>
      </w:r>
    </w:p>
    <w:p>
      <w:r>
        <w:t>Screenshots, instance URL, and demo link were not provided. Add approved, non-sensitive evidence after implementation. Mask personal or confidential ticket content before sharing.</w:t>
      </w:r>
    </w:p>
    <w:p>
      <w:pPr>
        <w:pStyle w:val="Heading1"/>
      </w:pPr>
      <w:r>
        <w:t>12. Known Issues and Open Decisions</w:t>
      </w:r>
    </w:p>
    <w:p>
      <w:pPr>
        <w:pStyle w:val="ListBullet"/>
      </w:pPr>
      <w:r>
        <w:t>ServiceNow products, release, licensing, exact tables, fields, roles, and queue names are not confirmed.</w:t>
      </w:r>
    </w:p>
    <w:p>
      <w:pPr>
        <w:pStyle w:val="ListBullet"/>
      </w:pPr>
      <w:r>
        <w:t>Ticket taxonomy quality and representative historical labels have not been assessed.</w:t>
      </w:r>
    </w:p>
    <w:p>
      <w:pPr>
        <w:pStyle w:val="ListBullet"/>
      </w:pPr>
      <w:r>
        <w:t>No baseline, production performance target, or measured model accuracy is available.</w:t>
      </w:r>
    </w:p>
    <w:p>
      <w:pPr>
        <w:pStyle w:val="ListBullet"/>
      </w:pPr>
      <w:r>
        <w:t>Flow failure recovery, idempotency, notification policy, and data retention need platform-owner approval.</w:t>
      </w:r>
    </w:p>
    <w:p>
      <w:pPr>
        <w:pStyle w:val="ListBullet"/>
      </w:pPr>
      <w:r>
        <w:t>Predictive classification is optional and not selected; do not assume an AI model is deployed.</w:t>
      </w:r>
    </w:p>
    <w:p>
      <w:pPr>
        <w:pStyle w:val="Heading1"/>
      </w:pPr>
      <w:r>
        <w:t>13. Future Enhancements</w:t>
      </w:r>
    </w:p>
    <w:p>
      <w:pPr>
        <w:pStyle w:val="ListBullet"/>
      </w:pPr>
      <w:r>
        <w:t>Expand rules to additional categories after measured pilot results.</w:t>
      </w:r>
    </w:p>
    <w:p>
      <w:pPr>
        <w:pStyle w:val="ListBullet"/>
      </w:pPr>
      <w:r>
        <w:t>Consider a supported prediction feature after representative data and licensing review.</w:t>
      </w:r>
    </w:p>
    <w:p>
      <w:pPr>
        <w:pStyle w:val="ListBullet"/>
      </w:pPr>
      <w:r>
        <w:t>Add feedback and drift monitoring by category and channel.</w:t>
      </w:r>
    </w:p>
    <w:p>
      <w:pPr>
        <w:pStyle w:val="ListBullet"/>
      </w:pPr>
      <w:r>
        <w:t>Improve requester guidance based on observed missing-field patterns.</w:t>
      </w:r>
    </w:p>
    <w:p>
      <w:pPr>
        <w:pStyle w:val="ListBullet"/>
      </w:pPr>
      <w:r>
        <w:t>Evaluate approved reporting integrations only if native reporting is insufficient.</w:t>
      </w:r>
    </w:p>
    <w:sectPr w:rsidR="00FC693F" w:rsidRPr="0006063C" w:rsidSect="00034616">
      <w:footerReference w:type="default" r:id="rId9"/>
      <w:head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D6473"/>
        <w:sz w:val="14"/>
      </w:rPr>
      <w:t>Auto Ticket Classification Using Flow Designer  |  FSD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rial" w:hAnsi="Arial"/>
      <w:color w:val="302A36"/>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b/>
      <w:bCs/>
      <w:color w:val="3D2A56"/>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b/>
      <w:bCs/>
      <w:color w:val="7651A8"/>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160"/>
      <w:contextualSpacing/>
    </w:pPr>
    <w:rPr>
      <w:rFonts w:asciiTheme="majorHAnsi" w:eastAsiaTheme="majorEastAsia" w:hAnsiTheme="majorHAnsi" w:cstheme="majorBidi" w:ascii="Arial" w:hAnsi="Arial"/>
      <w:b/>
      <w:color w:val="3D2A56"/>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Functional Specification Document - Auto Ticket Classification Using Flow Designer</dc:title>
  <dc:subject>FSD</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