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2"/>
        </w:rPr>
        <w:t>Tox21 Toxicity Prediction</w:t>
      </w:r>
    </w:p>
    <w:p>
      <w:pPr>
        <w:jc w:val="center"/>
      </w:pPr>
      <w:r>
        <w:rPr>
          <w:i/>
          <w:color w:val="2E74B5"/>
          <w:sz w:val="28"/>
        </w:rPr>
        <w:t>Random Forest Baseline — Project Documentation</w:t>
      </w:r>
    </w:p>
    <w:p/>
    <w:p>
      <w:pPr>
        <w:jc w:val="center"/>
      </w:pPr>
      <w:r>
        <w:rPr>
          <w:sz w:val="22"/>
        </w:rPr>
        <w:t>March 2026</w:t>
      </w:r>
    </w:p>
    <w:p>
      <w:r>
        <w:br w:type="page"/>
      </w:r>
    </w:p>
    <w:p>
      <w:pPr>
        <w:spacing w:before="360" w:after="120"/>
        <w:pBdr>
          <w:bottom w:val="single" w:sz="6" w:space="1" w:color="2E74B5"/>
        </w:pBdr>
      </w:pPr>
      <w:r>
        <w:rPr>
          <w:b/>
          <w:color w:val="1F497D"/>
          <w:sz w:val="36"/>
        </w:rPr>
        <w:t>1. Project Aim / Overview</w:t>
      </w:r>
    </w:p>
    <w:p>
      <w:pPr>
        <w:spacing w:after="80"/>
      </w:pPr>
      <w:r>
        <w:rPr>
          <w:b/>
          <w:sz w:val="21"/>
        </w:rPr>
        <w:t>Goal:</w:t>
      </w:r>
      <w:r>
        <w:rPr>
          <w:sz w:val="21"/>
        </w:rPr>
        <w:t xml:space="preserve"> Build a machine learning pipeline that predicts whether a chemical compound is toxic across 12 distinct biological endpoints, using only its molecular structure (SMILES string) as input.</w:t>
      </w:r>
    </w:p>
    <w:p>
      <w:pPr>
        <w:spacing w:after="80"/>
      </w:pPr>
      <w:r>
        <w:rPr>
          <w:b/>
          <w:sz w:val="21"/>
        </w:rPr>
        <w:t>Why it matters:</w:t>
      </w:r>
      <w:r>
        <w:rPr>
          <w:sz w:val="21"/>
        </w:rPr>
        <w:t xml:space="preserve"> Testing every chemical in animals or cell assays is slow and expensive. Computational toxicity models provide an initial safety screen, flagging potentially hazardous compounds early in drug discovery or chemical risk assessment — reducing cost, time, and animal use.</w:t>
      </w:r>
    </w:p>
    <w:p>
      <w:pPr>
        <w:spacing w:before="240" w:after="80"/>
      </w:pPr>
      <w:r>
        <w:rPr>
          <w:b/>
          <w:color w:val="2E74B5"/>
          <w:sz w:val="26"/>
        </w:rPr>
        <w:t>What was built</w:t>
      </w:r>
    </w:p>
    <w:p>
      <w:pPr>
        <w:pStyle w:val="ListBullet"/>
        <w:spacing w:after="40"/>
        <w:ind w:left="360"/>
      </w:pPr>
      <w:r>
        <w:rPr>
          <w:sz w:val="21"/>
        </w:rPr>
        <w:t>An end-to-end pipeline: downloads the dataset, featurizes molecules, trains 12 independent Random Forest classifiers (one per toxicity endpoint), evaluates them, and serializes the trained model.</w:t>
      </w:r>
    </w:p>
    <w:p>
      <w:pPr>
        <w:pStyle w:val="ListBullet"/>
        <w:spacing w:after="40"/>
        <w:ind w:left="360"/>
      </w:pPr>
      <w:r>
        <w:rPr>
          <w:sz w:val="21"/>
        </w:rPr>
        <w:t>A prediction API (predict_toxicity()) that accepts any SMILES string and returns per-endpoint toxicity probabilities and binary labels.</w:t>
      </w:r>
    </w:p>
    <w:p>
      <w:pPr>
        <w:pStyle w:val="ListBullet"/>
        <w:spacing w:after="40"/>
        <w:ind w:left="360"/>
      </w:pPr>
      <w:r>
        <w:rPr>
          <w:sz w:val="21"/>
        </w:rPr>
        <w:t>Full visualization suite: AUROC bar charts, ROC curves, and confusion matrices saved to results/.</w:t>
      </w:r>
    </w:p>
    <w:p>
      <w:pPr>
        <w:spacing w:before="240" w:after="80"/>
      </w:pPr>
      <w:r>
        <w:rPr>
          <w:b/>
          <w:color w:val="2E74B5"/>
          <w:sz w:val="26"/>
        </w:rPr>
        <w:t>Tech Stack</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1F497D"/>
          </w:tcPr>
          <w:p>
            <w:pPr>
              <w:jc w:val="center"/>
            </w:pPr>
            <w:r>
              <w:rPr>
                <w:b/>
                <w:color w:val="FFFFFF"/>
                <w:sz w:val="19"/>
              </w:rPr>
              <w:t>Component</w:t>
            </w:r>
          </w:p>
        </w:tc>
        <w:tc>
          <w:tcPr>
            <w:tcW w:type="dxa" w:w="5040"/>
            <w:shd w:val="clear" w:color="auto" w:fill="1F497D"/>
          </w:tcPr>
          <w:p>
            <w:pPr>
              <w:jc w:val="center"/>
            </w:pPr>
            <w:r>
              <w:rPr>
                <w:b/>
                <w:color w:val="FFFFFF"/>
                <w:sz w:val="19"/>
              </w:rPr>
              <w:t>Library / Tool</w:t>
            </w:r>
          </w:p>
        </w:tc>
      </w:tr>
      <w:tr>
        <w:tc>
          <w:tcPr>
            <w:tcW w:type="dxa" w:w="3600"/>
            <w:shd w:val="clear" w:color="auto" w:fill="F2F2F2"/>
          </w:tcPr>
          <w:p>
            <w:pPr>
              <w:jc w:val="center"/>
            </w:pPr>
            <w:r>
              <w:rPr>
                <w:sz w:val="18"/>
              </w:rPr>
              <w:t>Molecular featurization</w:t>
            </w:r>
          </w:p>
        </w:tc>
        <w:tc>
          <w:tcPr>
            <w:tcW w:type="dxa" w:w="5040"/>
            <w:shd w:val="clear" w:color="auto" w:fill="F2F2F2"/>
          </w:tcPr>
          <w:p>
            <w:pPr>
              <w:jc w:val="center"/>
            </w:pPr>
            <w:r>
              <w:rPr>
                <w:sz w:val="18"/>
              </w:rPr>
              <w:t>RDKit (Morgan fingerprints)</w:t>
            </w:r>
          </w:p>
        </w:tc>
      </w:tr>
      <w:tr>
        <w:tc>
          <w:tcPr>
            <w:tcW w:type="dxa" w:w="3600"/>
            <w:shd w:val="clear" w:color="auto" w:fill="FFFFFF"/>
          </w:tcPr>
          <w:p>
            <w:pPr>
              <w:jc w:val="center"/>
            </w:pPr>
            <w:r>
              <w:rPr>
                <w:sz w:val="18"/>
              </w:rPr>
              <w:t>Machine learning</w:t>
            </w:r>
          </w:p>
        </w:tc>
        <w:tc>
          <w:tcPr>
            <w:tcW w:type="dxa" w:w="5040"/>
            <w:shd w:val="clear" w:color="auto" w:fill="FFFFFF"/>
          </w:tcPr>
          <w:p>
            <w:pPr>
              <w:jc w:val="center"/>
            </w:pPr>
            <w:r>
              <w:rPr>
                <w:sz w:val="18"/>
              </w:rPr>
              <w:t>scikit-learn (RandomForestClassifier)</w:t>
            </w:r>
          </w:p>
        </w:tc>
      </w:tr>
      <w:tr>
        <w:tc>
          <w:tcPr>
            <w:tcW w:type="dxa" w:w="3600"/>
            <w:shd w:val="clear" w:color="auto" w:fill="F2F2F2"/>
          </w:tcPr>
          <w:p>
            <w:pPr>
              <w:jc w:val="center"/>
            </w:pPr>
            <w:r>
              <w:rPr>
                <w:sz w:val="18"/>
              </w:rPr>
              <w:t>Data handling</w:t>
            </w:r>
          </w:p>
        </w:tc>
        <w:tc>
          <w:tcPr>
            <w:tcW w:type="dxa" w:w="5040"/>
            <w:shd w:val="clear" w:color="auto" w:fill="F2F2F2"/>
          </w:tcPr>
          <w:p>
            <w:pPr>
              <w:jc w:val="center"/>
            </w:pPr>
            <w:r>
              <w:rPr>
                <w:sz w:val="18"/>
              </w:rPr>
              <w:t>pandas, NumPy</w:t>
            </w:r>
          </w:p>
        </w:tc>
      </w:tr>
      <w:tr>
        <w:tc>
          <w:tcPr>
            <w:tcW w:type="dxa" w:w="3600"/>
            <w:shd w:val="clear" w:color="auto" w:fill="FFFFFF"/>
          </w:tcPr>
          <w:p>
            <w:pPr>
              <w:jc w:val="center"/>
            </w:pPr>
            <w:r>
              <w:rPr>
                <w:sz w:val="18"/>
              </w:rPr>
              <w:t>Visualization</w:t>
            </w:r>
          </w:p>
        </w:tc>
        <w:tc>
          <w:tcPr>
            <w:tcW w:type="dxa" w:w="5040"/>
            <w:shd w:val="clear" w:color="auto" w:fill="FFFFFF"/>
          </w:tcPr>
          <w:p>
            <w:pPr>
              <w:jc w:val="center"/>
            </w:pPr>
            <w:r>
              <w:rPr>
                <w:sz w:val="18"/>
              </w:rPr>
              <w:t>Matplotlib, Seaborn</w:t>
            </w:r>
          </w:p>
        </w:tc>
      </w:tr>
      <w:tr>
        <w:tc>
          <w:tcPr>
            <w:tcW w:type="dxa" w:w="3600"/>
            <w:shd w:val="clear" w:color="auto" w:fill="F2F2F2"/>
          </w:tcPr>
          <w:p>
            <w:pPr>
              <w:jc w:val="center"/>
            </w:pPr>
            <w:r>
              <w:rPr>
                <w:sz w:val="18"/>
              </w:rPr>
              <w:t>Model persistence</w:t>
            </w:r>
          </w:p>
        </w:tc>
        <w:tc>
          <w:tcPr>
            <w:tcW w:type="dxa" w:w="5040"/>
            <w:shd w:val="clear" w:color="auto" w:fill="F2F2F2"/>
          </w:tcPr>
          <w:p>
            <w:pPr>
              <w:jc w:val="center"/>
            </w:pPr>
            <w:r>
              <w:rPr>
                <w:sz w:val="18"/>
              </w:rPr>
              <w:t>joblib</w:t>
            </w:r>
          </w:p>
        </w:tc>
      </w:tr>
      <w:tr>
        <w:tc>
          <w:tcPr>
            <w:tcW w:type="dxa" w:w="3600"/>
            <w:shd w:val="clear" w:color="auto" w:fill="FFFFFF"/>
          </w:tcPr>
          <w:p>
            <w:pPr>
              <w:jc w:val="center"/>
            </w:pPr>
            <w:r>
              <w:rPr>
                <w:sz w:val="18"/>
              </w:rPr>
              <w:t>Dataset source</w:t>
            </w:r>
          </w:p>
        </w:tc>
        <w:tc>
          <w:tcPr>
            <w:tcW w:type="dxa" w:w="5040"/>
            <w:shd w:val="clear" w:color="auto" w:fill="FFFFFF"/>
          </w:tcPr>
          <w:p>
            <w:pPr>
              <w:jc w:val="center"/>
            </w:pPr>
            <w:r>
              <w:rPr>
                <w:sz w:val="18"/>
              </w:rPr>
              <w:t>MoleculeNet / NIH Tox21</w:t>
            </w:r>
          </w:p>
        </w:tc>
      </w:tr>
    </w:tbl>
    <w:p/>
    <w:p>
      <w:pPr>
        <w:spacing w:before="360" w:after="120"/>
        <w:pBdr>
          <w:bottom w:val="single" w:sz="6" w:space="1" w:color="2E74B5"/>
        </w:pBdr>
      </w:pPr>
      <w:r>
        <w:rPr>
          <w:b/>
          <w:color w:val="1F497D"/>
          <w:sz w:val="36"/>
        </w:rPr>
        <w:t>2. Dataset Description</w:t>
      </w:r>
    </w:p>
    <w:p>
      <w:pPr>
        <w:spacing w:after="80"/>
      </w:pPr>
      <w:r>
        <w:rPr>
          <w:sz w:val="21"/>
        </w:rPr>
        <w:t>The Tox21 dataset was originally released as part of the NIH Tox21 Data Challenge and is hosted by MoleculeNet. It contains 7,831 chemical compounds labelled against 12 toxicity endpoints — seven nuclear receptor assays and five stress response assays.</w:t>
      </w:r>
    </w:p>
    <w:p>
      <w:pPr>
        <w:spacing w:after="80"/>
      </w:pPr>
      <w:r>
        <w:rPr>
          <w:sz w:val="21"/>
        </w:rPr>
        <w:t>Source URL:</w:t>
      </w:r>
    </w:p>
    <w:p>
      <w:pPr>
        <w:spacing w:before="80" w:after="80"/>
        <w:ind w:left="432"/>
        <w:shd w:val="clear" w:color="auto" w:fill="F5F5F5"/>
      </w:pPr>
      <w:r>
        <w:rPr>
          <w:rFonts w:ascii="Courier New" w:hAnsi="Courier New"/>
          <w:color w:val="1F1F1F"/>
          <w:sz w:val="18"/>
        </w:rPr>
        <w:t>https://deepchemdata.s3-us-west-1.amazonaws.com/datasets/tox21.csv.gz</w:t>
      </w:r>
    </w:p>
    <w:p>
      <w:pPr>
        <w:spacing w:before="240" w:after="80"/>
      </w:pPr>
      <w:r>
        <w:rPr>
          <w:b/>
          <w:color w:val="2E74B5"/>
          <w:sz w:val="26"/>
        </w:rPr>
        <w:t>Columns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497D"/>
          </w:tcPr>
          <w:p>
            <w:pPr>
              <w:jc w:val="center"/>
            </w:pPr>
            <w:r>
              <w:rPr>
                <w:b/>
                <w:color w:val="FFFFFF"/>
                <w:sz w:val="19"/>
              </w:rPr>
              <w:t>Column</w:t>
            </w:r>
          </w:p>
        </w:tc>
        <w:tc>
          <w:tcPr>
            <w:tcW w:type="dxa" w:w="1296"/>
            <w:shd w:val="clear" w:color="auto" w:fill="1F497D"/>
          </w:tcPr>
          <w:p>
            <w:pPr>
              <w:jc w:val="center"/>
            </w:pPr>
            <w:r>
              <w:rPr>
                <w:b/>
                <w:color w:val="FFFFFF"/>
                <w:sz w:val="19"/>
              </w:rPr>
              <w:t>Type</w:t>
            </w:r>
          </w:p>
        </w:tc>
        <w:tc>
          <w:tcPr>
            <w:tcW w:type="dxa" w:w="5760"/>
            <w:shd w:val="clear" w:color="auto" w:fill="1F497D"/>
          </w:tcPr>
          <w:p>
            <w:pPr>
              <w:jc w:val="center"/>
            </w:pPr>
            <w:r>
              <w:rPr>
                <w:b/>
                <w:color w:val="FFFFFF"/>
                <w:sz w:val="19"/>
              </w:rPr>
              <w:t>Description</w:t>
            </w:r>
          </w:p>
        </w:tc>
      </w:tr>
      <w:tr>
        <w:tc>
          <w:tcPr>
            <w:tcW w:type="dxa" w:w="2304"/>
            <w:shd w:val="clear" w:color="auto" w:fill="F2F2F2"/>
          </w:tcPr>
          <w:p>
            <w:pPr>
              <w:jc w:val="center"/>
            </w:pPr>
            <w:r>
              <w:rPr>
                <w:sz w:val="18"/>
              </w:rPr>
              <w:t>smiles</w:t>
            </w:r>
          </w:p>
        </w:tc>
        <w:tc>
          <w:tcPr>
            <w:tcW w:type="dxa" w:w="1296"/>
            <w:shd w:val="clear" w:color="auto" w:fill="F2F2F2"/>
          </w:tcPr>
          <w:p>
            <w:pPr>
              <w:jc w:val="center"/>
            </w:pPr>
            <w:r>
              <w:rPr>
                <w:sz w:val="18"/>
              </w:rPr>
              <w:t>string</w:t>
            </w:r>
          </w:p>
        </w:tc>
        <w:tc>
          <w:tcPr>
            <w:tcW w:type="dxa" w:w="5760"/>
            <w:shd w:val="clear" w:color="auto" w:fill="F2F2F2"/>
          </w:tcPr>
          <w:p>
            <w:pPr>
              <w:jc w:val="center"/>
            </w:pPr>
            <w:r>
              <w:rPr>
                <w:sz w:val="18"/>
              </w:rPr>
              <w:t>SMILES notation encoding the 2D molecular structure</w:t>
            </w:r>
          </w:p>
        </w:tc>
      </w:tr>
      <w:tr>
        <w:tc>
          <w:tcPr>
            <w:tcW w:type="dxa" w:w="2304"/>
            <w:shd w:val="clear" w:color="auto" w:fill="FFFFFF"/>
          </w:tcPr>
          <w:p>
            <w:pPr>
              <w:jc w:val="center"/>
            </w:pPr>
            <w:r>
              <w:rPr>
                <w:sz w:val="18"/>
              </w:rPr>
              <w:t>mol_id</w:t>
            </w:r>
          </w:p>
        </w:tc>
        <w:tc>
          <w:tcPr>
            <w:tcW w:type="dxa" w:w="1296"/>
            <w:shd w:val="clear" w:color="auto" w:fill="FFFFFF"/>
          </w:tcPr>
          <w:p>
            <w:pPr>
              <w:jc w:val="center"/>
            </w:pPr>
            <w:r>
              <w:rPr>
                <w:sz w:val="18"/>
              </w:rPr>
              <w:t>string</w:t>
            </w:r>
          </w:p>
        </w:tc>
        <w:tc>
          <w:tcPr>
            <w:tcW w:type="dxa" w:w="5760"/>
            <w:shd w:val="clear" w:color="auto" w:fill="FFFFFF"/>
          </w:tcPr>
          <w:p>
            <w:pPr>
              <w:jc w:val="center"/>
            </w:pPr>
            <w:r>
              <w:rPr>
                <w:sz w:val="18"/>
              </w:rPr>
              <w:t>Compound identifier</w:t>
            </w:r>
          </w:p>
        </w:tc>
      </w:tr>
      <w:tr>
        <w:tc>
          <w:tcPr>
            <w:tcW w:type="dxa" w:w="2304"/>
            <w:shd w:val="clear" w:color="auto" w:fill="F2F2F2"/>
          </w:tcPr>
          <w:p>
            <w:pPr>
              <w:jc w:val="center"/>
            </w:pPr>
            <w:r>
              <w:rPr>
                <w:sz w:val="18"/>
              </w:rPr>
              <w:t>NR-AR</w:t>
            </w:r>
          </w:p>
        </w:tc>
        <w:tc>
          <w:tcPr>
            <w:tcW w:type="dxa" w:w="1296"/>
            <w:shd w:val="clear" w:color="auto" w:fill="F2F2F2"/>
          </w:tcPr>
          <w:p>
            <w:pPr>
              <w:jc w:val="center"/>
            </w:pPr>
            <w:r>
              <w:rPr>
                <w:sz w:val="18"/>
              </w:rPr>
              <w:t>0/1/NaN</w:t>
            </w:r>
          </w:p>
        </w:tc>
        <w:tc>
          <w:tcPr>
            <w:tcW w:type="dxa" w:w="5760"/>
            <w:shd w:val="clear" w:color="auto" w:fill="F2F2F2"/>
          </w:tcPr>
          <w:p>
            <w:pPr>
              <w:jc w:val="center"/>
            </w:pPr>
            <w:r>
              <w:rPr>
                <w:sz w:val="18"/>
              </w:rPr>
              <w:t>Androgen Receptor activation</w:t>
            </w:r>
          </w:p>
        </w:tc>
      </w:tr>
      <w:tr>
        <w:tc>
          <w:tcPr>
            <w:tcW w:type="dxa" w:w="2304"/>
            <w:shd w:val="clear" w:color="auto" w:fill="FFFFFF"/>
          </w:tcPr>
          <w:p>
            <w:pPr>
              <w:jc w:val="center"/>
            </w:pPr>
            <w:r>
              <w:rPr>
                <w:sz w:val="18"/>
              </w:rPr>
              <w:t>NR-AR-LBD</w:t>
            </w:r>
          </w:p>
        </w:tc>
        <w:tc>
          <w:tcPr>
            <w:tcW w:type="dxa" w:w="1296"/>
            <w:shd w:val="clear" w:color="auto" w:fill="FFFFFF"/>
          </w:tcPr>
          <w:p>
            <w:pPr>
              <w:jc w:val="center"/>
            </w:pPr>
            <w:r>
              <w:rPr>
                <w:sz w:val="18"/>
              </w:rPr>
              <w:t>0/1/NaN</w:t>
            </w:r>
          </w:p>
        </w:tc>
        <w:tc>
          <w:tcPr>
            <w:tcW w:type="dxa" w:w="5760"/>
            <w:shd w:val="clear" w:color="auto" w:fill="FFFFFF"/>
          </w:tcPr>
          <w:p>
            <w:pPr>
              <w:jc w:val="center"/>
            </w:pPr>
            <w:r>
              <w:rPr>
                <w:sz w:val="18"/>
              </w:rPr>
              <w:t>Androgen Receptor — Ligand Binding Domain</w:t>
            </w:r>
          </w:p>
        </w:tc>
      </w:tr>
      <w:tr>
        <w:tc>
          <w:tcPr>
            <w:tcW w:type="dxa" w:w="2304"/>
            <w:shd w:val="clear" w:color="auto" w:fill="F2F2F2"/>
          </w:tcPr>
          <w:p>
            <w:pPr>
              <w:jc w:val="center"/>
            </w:pPr>
            <w:r>
              <w:rPr>
                <w:sz w:val="18"/>
              </w:rPr>
              <w:t>NR-AhR</w:t>
            </w:r>
          </w:p>
        </w:tc>
        <w:tc>
          <w:tcPr>
            <w:tcW w:type="dxa" w:w="1296"/>
            <w:shd w:val="clear" w:color="auto" w:fill="F2F2F2"/>
          </w:tcPr>
          <w:p>
            <w:pPr>
              <w:jc w:val="center"/>
            </w:pPr>
            <w:r>
              <w:rPr>
                <w:sz w:val="18"/>
              </w:rPr>
              <w:t>0/1/NaN</w:t>
            </w:r>
          </w:p>
        </w:tc>
        <w:tc>
          <w:tcPr>
            <w:tcW w:type="dxa" w:w="5760"/>
            <w:shd w:val="clear" w:color="auto" w:fill="F2F2F2"/>
          </w:tcPr>
          <w:p>
            <w:pPr>
              <w:jc w:val="center"/>
            </w:pPr>
            <w:r>
              <w:rPr>
                <w:sz w:val="18"/>
              </w:rPr>
              <w:t>Aryl hydrocarbon Receptor activation</w:t>
            </w:r>
          </w:p>
        </w:tc>
      </w:tr>
      <w:tr>
        <w:tc>
          <w:tcPr>
            <w:tcW w:type="dxa" w:w="2304"/>
            <w:shd w:val="clear" w:color="auto" w:fill="FFFFFF"/>
          </w:tcPr>
          <w:p>
            <w:pPr>
              <w:jc w:val="center"/>
            </w:pPr>
            <w:r>
              <w:rPr>
                <w:sz w:val="18"/>
              </w:rPr>
              <w:t>NR-Aromatase</w:t>
            </w:r>
          </w:p>
        </w:tc>
        <w:tc>
          <w:tcPr>
            <w:tcW w:type="dxa" w:w="1296"/>
            <w:shd w:val="clear" w:color="auto" w:fill="FFFFFF"/>
          </w:tcPr>
          <w:p>
            <w:pPr>
              <w:jc w:val="center"/>
            </w:pPr>
            <w:r>
              <w:rPr>
                <w:sz w:val="18"/>
              </w:rPr>
              <w:t>0/1/NaN</w:t>
            </w:r>
          </w:p>
        </w:tc>
        <w:tc>
          <w:tcPr>
            <w:tcW w:type="dxa" w:w="5760"/>
            <w:shd w:val="clear" w:color="auto" w:fill="FFFFFF"/>
          </w:tcPr>
          <w:p>
            <w:pPr>
              <w:jc w:val="center"/>
            </w:pPr>
            <w:r>
              <w:rPr>
                <w:sz w:val="18"/>
              </w:rPr>
              <w:t>Aromatase enzyme inhibition</w:t>
            </w:r>
          </w:p>
        </w:tc>
      </w:tr>
      <w:tr>
        <w:tc>
          <w:tcPr>
            <w:tcW w:type="dxa" w:w="2304"/>
            <w:shd w:val="clear" w:color="auto" w:fill="F2F2F2"/>
          </w:tcPr>
          <w:p>
            <w:pPr>
              <w:jc w:val="center"/>
            </w:pPr>
            <w:r>
              <w:rPr>
                <w:sz w:val="18"/>
              </w:rPr>
              <w:t>NR-ER</w:t>
            </w:r>
          </w:p>
        </w:tc>
        <w:tc>
          <w:tcPr>
            <w:tcW w:type="dxa" w:w="1296"/>
            <w:shd w:val="clear" w:color="auto" w:fill="F2F2F2"/>
          </w:tcPr>
          <w:p>
            <w:pPr>
              <w:jc w:val="center"/>
            </w:pPr>
            <w:r>
              <w:rPr>
                <w:sz w:val="18"/>
              </w:rPr>
              <w:t>0/1/NaN</w:t>
            </w:r>
          </w:p>
        </w:tc>
        <w:tc>
          <w:tcPr>
            <w:tcW w:type="dxa" w:w="5760"/>
            <w:shd w:val="clear" w:color="auto" w:fill="F2F2F2"/>
          </w:tcPr>
          <w:p>
            <w:pPr>
              <w:jc w:val="center"/>
            </w:pPr>
            <w:r>
              <w:rPr>
                <w:sz w:val="18"/>
              </w:rPr>
              <w:t>Estrogen Receptor activation</w:t>
            </w:r>
          </w:p>
        </w:tc>
      </w:tr>
      <w:tr>
        <w:tc>
          <w:tcPr>
            <w:tcW w:type="dxa" w:w="2304"/>
            <w:shd w:val="clear" w:color="auto" w:fill="FFFFFF"/>
          </w:tcPr>
          <w:p>
            <w:pPr>
              <w:jc w:val="center"/>
            </w:pPr>
            <w:r>
              <w:rPr>
                <w:sz w:val="18"/>
              </w:rPr>
              <w:t>NR-ER-LBD</w:t>
            </w:r>
          </w:p>
        </w:tc>
        <w:tc>
          <w:tcPr>
            <w:tcW w:type="dxa" w:w="1296"/>
            <w:shd w:val="clear" w:color="auto" w:fill="FFFFFF"/>
          </w:tcPr>
          <w:p>
            <w:pPr>
              <w:jc w:val="center"/>
            </w:pPr>
            <w:r>
              <w:rPr>
                <w:sz w:val="18"/>
              </w:rPr>
              <w:t>0/1/NaN</w:t>
            </w:r>
          </w:p>
        </w:tc>
        <w:tc>
          <w:tcPr>
            <w:tcW w:type="dxa" w:w="5760"/>
            <w:shd w:val="clear" w:color="auto" w:fill="FFFFFF"/>
          </w:tcPr>
          <w:p>
            <w:pPr>
              <w:jc w:val="center"/>
            </w:pPr>
            <w:r>
              <w:rPr>
                <w:sz w:val="18"/>
              </w:rPr>
              <w:t>Estrogen Receptor — Ligand Binding Domain</w:t>
            </w:r>
          </w:p>
        </w:tc>
      </w:tr>
      <w:tr>
        <w:tc>
          <w:tcPr>
            <w:tcW w:type="dxa" w:w="2304"/>
            <w:shd w:val="clear" w:color="auto" w:fill="F2F2F2"/>
          </w:tcPr>
          <w:p>
            <w:pPr>
              <w:jc w:val="center"/>
            </w:pPr>
            <w:r>
              <w:rPr>
                <w:sz w:val="18"/>
              </w:rPr>
              <w:t>NR-PPAR-gamma</w:t>
            </w:r>
          </w:p>
        </w:tc>
        <w:tc>
          <w:tcPr>
            <w:tcW w:type="dxa" w:w="1296"/>
            <w:shd w:val="clear" w:color="auto" w:fill="F2F2F2"/>
          </w:tcPr>
          <w:p>
            <w:pPr>
              <w:jc w:val="center"/>
            </w:pPr>
            <w:r>
              <w:rPr>
                <w:sz w:val="18"/>
              </w:rPr>
              <w:t>0/1/NaN</w:t>
            </w:r>
          </w:p>
        </w:tc>
        <w:tc>
          <w:tcPr>
            <w:tcW w:type="dxa" w:w="5760"/>
            <w:shd w:val="clear" w:color="auto" w:fill="F2F2F2"/>
          </w:tcPr>
          <w:p>
            <w:pPr>
              <w:jc w:val="center"/>
            </w:pPr>
            <w:r>
              <w:rPr>
                <w:sz w:val="18"/>
              </w:rPr>
              <w:t>Peroxisome Proliferator-Activated Receptor gamma</w:t>
            </w:r>
          </w:p>
        </w:tc>
      </w:tr>
      <w:tr>
        <w:tc>
          <w:tcPr>
            <w:tcW w:type="dxa" w:w="2304"/>
            <w:shd w:val="clear" w:color="auto" w:fill="FFFFFF"/>
          </w:tcPr>
          <w:p>
            <w:pPr>
              <w:jc w:val="center"/>
            </w:pPr>
            <w:r>
              <w:rPr>
                <w:sz w:val="18"/>
              </w:rPr>
              <w:t>SR-ARE</w:t>
            </w:r>
          </w:p>
        </w:tc>
        <w:tc>
          <w:tcPr>
            <w:tcW w:type="dxa" w:w="1296"/>
            <w:shd w:val="clear" w:color="auto" w:fill="FFFFFF"/>
          </w:tcPr>
          <w:p>
            <w:pPr>
              <w:jc w:val="center"/>
            </w:pPr>
            <w:r>
              <w:rPr>
                <w:sz w:val="18"/>
              </w:rPr>
              <w:t>0/1/NaN</w:t>
            </w:r>
          </w:p>
        </w:tc>
        <w:tc>
          <w:tcPr>
            <w:tcW w:type="dxa" w:w="5760"/>
            <w:shd w:val="clear" w:color="auto" w:fill="FFFFFF"/>
          </w:tcPr>
          <w:p>
            <w:pPr>
              <w:jc w:val="center"/>
            </w:pPr>
            <w:r>
              <w:rPr>
                <w:sz w:val="18"/>
              </w:rPr>
              <w:t>Antioxidant Response Element activation</w:t>
            </w:r>
          </w:p>
        </w:tc>
      </w:tr>
      <w:tr>
        <w:tc>
          <w:tcPr>
            <w:tcW w:type="dxa" w:w="2304"/>
            <w:shd w:val="clear" w:color="auto" w:fill="F2F2F2"/>
          </w:tcPr>
          <w:p>
            <w:pPr>
              <w:jc w:val="center"/>
            </w:pPr>
            <w:r>
              <w:rPr>
                <w:sz w:val="18"/>
              </w:rPr>
              <w:t>SR-ATAD5</w:t>
            </w:r>
          </w:p>
        </w:tc>
        <w:tc>
          <w:tcPr>
            <w:tcW w:type="dxa" w:w="1296"/>
            <w:shd w:val="clear" w:color="auto" w:fill="F2F2F2"/>
          </w:tcPr>
          <w:p>
            <w:pPr>
              <w:jc w:val="center"/>
            </w:pPr>
            <w:r>
              <w:rPr>
                <w:sz w:val="18"/>
              </w:rPr>
              <w:t>0/1/NaN</w:t>
            </w:r>
          </w:p>
        </w:tc>
        <w:tc>
          <w:tcPr>
            <w:tcW w:type="dxa" w:w="5760"/>
            <w:shd w:val="clear" w:color="auto" w:fill="F2F2F2"/>
          </w:tcPr>
          <w:p>
            <w:pPr>
              <w:jc w:val="center"/>
            </w:pPr>
            <w:r>
              <w:rPr>
                <w:sz w:val="18"/>
              </w:rPr>
              <w:t>ATAD5 genotoxicity marker</w:t>
            </w:r>
          </w:p>
        </w:tc>
      </w:tr>
      <w:tr>
        <w:tc>
          <w:tcPr>
            <w:tcW w:type="dxa" w:w="2304"/>
            <w:shd w:val="clear" w:color="auto" w:fill="FFFFFF"/>
          </w:tcPr>
          <w:p>
            <w:pPr>
              <w:jc w:val="center"/>
            </w:pPr>
            <w:r>
              <w:rPr>
                <w:sz w:val="18"/>
              </w:rPr>
              <w:t>SR-HSE</w:t>
            </w:r>
          </w:p>
        </w:tc>
        <w:tc>
          <w:tcPr>
            <w:tcW w:type="dxa" w:w="1296"/>
            <w:shd w:val="clear" w:color="auto" w:fill="FFFFFF"/>
          </w:tcPr>
          <w:p>
            <w:pPr>
              <w:jc w:val="center"/>
            </w:pPr>
            <w:r>
              <w:rPr>
                <w:sz w:val="18"/>
              </w:rPr>
              <w:t>0/1/NaN</w:t>
            </w:r>
          </w:p>
        </w:tc>
        <w:tc>
          <w:tcPr>
            <w:tcW w:type="dxa" w:w="5760"/>
            <w:shd w:val="clear" w:color="auto" w:fill="FFFFFF"/>
          </w:tcPr>
          <w:p>
            <w:pPr>
              <w:jc w:val="center"/>
            </w:pPr>
            <w:r>
              <w:rPr>
                <w:sz w:val="18"/>
              </w:rPr>
              <w:t>Heat Shock Factor Response Element</w:t>
            </w:r>
          </w:p>
        </w:tc>
      </w:tr>
      <w:tr>
        <w:tc>
          <w:tcPr>
            <w:tcW w:type="dxa" w:w="2304"/>
            <w:shd w:val="clear" w:color="auto" w:fill="F2F2F2"/>
          </w:tcPr>
          <w:p>
            <w:pPr>
              <w:jc w:val="center"/>
            </w:pPr>
            <w:r>
              <w:rPr>
                <w:sz w:val="18"/>
              </w:rPr>
              <w:t>SR-MMP</w:t>
            </w:r>
          </w:p>
        </w:tc>
        <w:tc>
          <w:tcPr>
            <w:tcW w:type="dxa" w:w="1296"/>
            <w:shd w:val="clear" w:color="auto" w:fill="F2F2F2"/>
          </w:tcPr>
          <w:p>
            <w:pPr>
              <w:jc w:val="center"/>
            </w:pPr>
            <w:r>
              <w:rPr>
                <w:sz w:val="18"/>
              </w:rPr>
              <w:t>0/1/NaN</w:t>
            </w:r>
          </w:p>
        </w:tc>
        <w:tc>
          <w:tcPr>
            <w:tcW w:type="dxa" w:w="5760"/>
            <w:shd w:val="clear" w:color="auto" w:fill="F2F2F2"/>
          </w:tcPr>
          <w:p>
            <w:pPr>
              <w:jc w:val="center"/>
            </w:pPr>
            <w:r>
              <w:rPr>
                <w:sz w:val="18"/>
              </w:rPr>
              <w:t>Mitochondrial Membrane Potential disruption</w:t>
            </w:r>
          </w:p>
        </w:tc>
      </w:tr>
      <w:tr>
        <w:tc>
          <w:tcPr>
            <w:tcW w:type="dxa" w:w="2304"/>
            <w:shd w:val="clear" w:color="auto" w:fill="FFFFFF"/>
          </w:tcPr>
          <w:p>
            <w:pPr>
              <w:jc w:val="center"/>
            </w:pPr>
            <w:r>
              <w:rPr>
                <w:sz w:val="18"/>
              </w:rPr>
              <w:t>SR-p53</w:t>
            </w:r>
          </w:p>
        </w:tc>
        <w:tc>
          <w:tcPr>
            <w:tcW w:type="dxa" w:w="1296"/>
            <w:shd w:val="clear" w:color="auto" w:fill="FFFFFF"/>
          </w:tcPr>
          <w:p>
            <w:pPr>
              <w:jc w:val="center"/>
            </w:pPr>
            <w:r>
              <w:rPr>
                <w:sz w:val="18"/>
              </w:rPr>
              <w:t>0/1/NaN</w:t>
            </w:r>
          </w:p>
        </w:tc>
        <w:tc>
          <w:tcPr>
            <w:tcW w:type="dxa" w:w="5760"/>
            <w:shd w:val="clear" w:color="auto" w:fill="FFFFFF"/>
          </w:tcPr>
          <w:p>
            <w:pPr>
              <w:jc w:val="center"/>
            </w:pPr>
            <w:r>
              <w:rPr>
                <w:sz w:val="18"/>
              </w:rPr>
              <w:t>p53 tumour-suppressor pathway activation</w:t>
            </w:r>
          </w:p>
        </w:tc>
      </w:tr>
    </w:tbl>
    <w:p/>
    <w:p>
      <w:pPr>
        <w:spacing w:after="80"/>
      </w:pPr>
      <w:r>
        <w:rPr>
          <w:sz w:val="21"/>
        </w:rPr>
        <w:t>Label encoding: 1 = toxic (active), 0 = non-toxic (inactive), NaN = not measured.</w:t>
      </w:r>
    </w:p>
    <w:p>
      <w:pPr>
        <w:spacing w:before="240" w:after="80"/>
      </w:pPr>
      <w:r>
        <w:rPr>
          <w:b/>
          <w:color w:val="2E74B5"/>
          <w:sz w:val="26"/>
        </w:rPr>
        <w:t>Example Rows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3168"/>
            <w:shd w:val="clear" w:color="auto" w:fill="1F497D"/>
          </w:tcPr>
          <w:p>
            <w:pPr>
              <w:jc w:val="center"/>
            </w:pPr>
            <w:r>
              <w:rPr>
                <w:b/>
                <w:color w:val="FFFFFF"/>
                <w:sz w:val="19"/>
              </w:rPr>
              <w:t>SMILES</w:t>
            </w:r>
          </w:p>
        </w:tc>
        <w:tc>
          <w:tcPr>
            <w:tcW w:type="dxa" w:w="1224"/>
            <w:shd w:val="clear" w:color="auto" w:fill="1F497D"/>
          </w:tcPr>
          <w:p>
            <w:pPr>
              <w:jc w:val="center"/>
            </w:pPr>
            <w:r>
              <w:rPr>
                <w:b/>
                <w:color w:val="FFFFFF"/>
                <w:sz w:val="19"/>
              </w:rPr>
              <w:t>mol_id</w:t>
            </w:r>
          </w:p>
        </w:tc>
        <w:tc>
          <w:tcPr>
            <w:tcW w:type="dxa" w:w="936"/>
            <w:shd w:val="clear" w:color="auto" w:fill="1F497D"/>
          </w:tcPr>
          <w:p>
            <w:pPr>
              <w:jc w:val="center"/>
            </w:pPr>
            <w:r>
              <w:rPr>
                <w:b/>
                <w:color w:val="FFFFFF"/>
                <w:sz w:val="19"/>
              </w:rPr>
              <w:t>NR-AR</w:t>
            </w:r>
          </w:p>
        </w:tc>
        <w:tc>
          <w:tcPr>
            <w:tcW w:type="dxa" w:w="936"/>
            <w:shd w:val="clear" w:color="auto" w:fill="1F497D"/>
          </w:tcPr>
          <w:p>
            <w:pPr>
              <w:jc w:val="center"/>
            </w:pPr>
            <w:r>
              <w:rPr>
                <w:b/>
                <w:color w:val="FFFFFF"/>
                <w:sz w:val="19"/>
              </w:rPr>
              <w:t>NR-AhR</w:t>
            </w:r>
          </w:p>
        </w:tc>
        <w:tc>
          <w:tcPr>
            <w:tcW w:type="dxa" w:w="936"/>
            <w:shd w:val="clear" w:color="auto" w:fill="1F497D"/>
          </w:tcPr>
          <w:p>
            <w:pPr>
              <w:jc w:val="center"/>
            </w:pPr>
            <w:r>
              <w:rPr>
                <w:b/>
                <w:color w:val="FFFFFF"/>
                <w:sz w:val="19"/>
              </w:rPr>
              <w:t>NR-ER</w:t>
            </w:r>
          </w:p>
        </w:tc>
        <w:tc>
          <w:tcPr>
            <w:tcW w:type="dxa" w:w="936"/>
            <w:shd w:val="clear" w:color="auto" w:fill="1F497D"/>
          </w:tcPr>
          <w:p>
            <w:pPr>
              <w:jc w:val="center"/>
            </w:pPr>
            <w:r>
              <w:rPr>
                <w:b/>
                <w:color w:val="FFFFFF"/>
                <w:sz w:val="19"/>
              </w:rPr>
              <w:t>SR-MMP</w:t>
            </w:r>
          </w:p>
        </w:tc>
        <w:tc>
          <w:tcPr>
            <w:tcW w:type="dxa" w:w="936"/>
            <w:shd w:val="clear" w:color="auto" w:fill="1F497D"/>
          </w:tcPr>
          <w:p>
            <w:pPr>
              <w:jc w:val="center"/>
            </w:pPr>
            <w:r>
              <w:rPr>
                <w:b/>
                <w:color w:val="FFFFFF"/>
                <w:sz w:val="19"/>
              </w:rPr>
              <w:t>SR-p53</w:t>
            </w:r>
          </w:p>
        </w:tc>
      </w:tr>
      <w:tr>
        <w:tc>
          <w:tcPr>
            <w:tcW w:type="dxa" w:w="3168"/>
            <w:shd w:val="clear" w:color="auto" w:fill="F2F2F2"/>
          </w:tcPr>
          <w:p>
            <w:pPr>
              <w:jc w:val="center"/>
            </w:pPr>
            <w:r>
              <w:rPr>
                <w:sz w:val="18"/>
              </w:rPr>
              <w:t>CCOc1ccc2nc(S(N)(=O)=O)sc2c1</w:t>
            </w:r>
          </w:p>
        </w:tc>
        <w:tc>
          <w:tcPr>
            <w:tcW w:type="dxa" w:w="1224"/>
            <w:shd w:val="clear" w:color="auto" w:fill="F2F2F2"/>
          </w:tcPr>
          <w:p>
            <w:pPr>
              <w:jc w:val="center"/>
            </w:pPr>
            <w:r>
              <w:rPr>
                <w:sz w:val="18"/>
              </w:rPr>
              <w:t>TOX1234</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r>
      <w:tr>
        <w:tc>
          <w:tcPr>
            <w:tcW w:type="dxa" w:w="3168"/>
            <w:shd w:val="clear" w:color="auto" w:fill="FFFFFF"/>
          </w:tcPr>
          <w:p>
            <w:pPr>
              <w:jc w:val="center"/>
            </w:pPr>
            <w:r>
              <w:rPr>
                <w:sz w:val="18"/>
              </w:rPr>
              <w:t>CCCN(CC)C(CC)C(=O)Nc1c(C)cccc1C</w:t>
            </w:r>
          </w:p>
        </w:tc>
        <w:tc>
          <w:tcPr>
            <w:tcW w:type="dxa" w:w="1224"/>
            <w:shd w:val="clear" w:color="auto" w:fill="FFFFFF"/>
          </w:tcPr>
          <w:p>
            <w:pPr>
              <w:jc w:val="center"/>
            </w:pPr>
            <w:r>
              <w:rPr>
                <w:sz w:val="18"/>
              </w:rPr>
              <w:t>TOX2901</w:t>
            </w:r>
          </w:p>
        </w:tc>
        <w:tc>
          <w:tcPr>
            <w:tcW w:type="dxa" w:w="936"/>
            <w:shd w:val="clear" w:color="auto" w:fill="FFFFFF"/>
          </w:tcPr>
          <w:p>
            <w:pPr>
              <w:jc w:val="center"/>
            </w:pPr>
            <w:r>
              <w:rPr>
                <w:sz w:val="18"/>
              </w:rPr>
              <w:t>0</w:t>
            </w:r>
          </w:p>
        </w:tc>
        <w:tc>
          <w:tcPr>
            <w:tcW w:type="dxa" w:w="936"/>
            <w:shd w:val="clear" w:color="auto" w:fill="FFFFFF"/>
          </w:tcPr>
          <w:p>
            <w:pPr>
              <w:jc w:val="center"/>
            </w:pPr>
            <w:r>
              <w:rPr>
                <w:sz w:val="18"/>
              </w:rPr>
              <w:t>1</w:t>
            </w:r>
          </w:p>
        </w:tc>
        <w:tc>
          <w:tcPr>
            <w:tcW w:type="dxa" w:w="936"/>
            <w:shd w:val="clear" w:color="auto" w:fill="FFFFFF"/>
          </w:tcPr>
          <w:p>
            <w:pPr>
              <w:jc w:val="center"/>
            </w:pPr>
            <w:r>
              <w:rPr>
                <w:sz w:val="18"/>
              </w:rPr>
              <w:t>0</w:t>
            </w:r>
          </w:p>
        </w:tc>
        <w:tc>
          <w:tcPr>
            <w:tcW w:type="dxa" w:w="936"/>
            <w:shd w:val="clear" w:color="auto" w:fill="FFFFFF"/>
          </w:tcPr>
          <w:p>
            <w:pPr>
              <w:jc w:val="center"/>
            </w:pPr>
            <w:r>
              <w:rPr>
                <w:sz w:val="18"/>
              </w:rPr>
              <w:t>NaN</w:t>
            </w:r>
          </w:p>
        </w:tc>
        <w:tc>
          <w:tcPr>
            <w:tcW w:type="dxa" w:w="936"/>
            <w:shd w:val="clear" w:color="auto" w:fill="FFFFFF"/>
          </w:tcPr>
          <w:p>
            <w:pPr>
              <w:jc w:val="center"/>
            </w:pPr>
            <w:r>
              <w:rPr>
                <w:sz w:val="18"/>
              </w:rPr>
              <w:t>0</w:t>
            </w:r>
          </w:p>
        </w:tc>
      </w:tr>
      <w:tr>
        <w:tc>
          <w:tcPr>
            <w:tcW w:type="dxa" w:w="3168"/>
            <w:shd w:val="clear" w:color="auto" w:fill="F2F2F2"/>
          </w:tcPr>
          <w:p>
            <w:pPr>
              <w:jc w:val="center"/>
            </w:pPr>
            <w:r>
              <w:rPr>
                <w:sz w:val="18"/>
              </w:rPr>
              <w:t>CC(O)(P(=O)(O)O)P(=O)(O)O</w:t>
            </w:r>
          </w:p>
        </w:tc>
        <w:tc>
          <w:tcPr>
            <w:tcW w:type="dxa" w:w="1224"/>
            <w:shd w:val="clear" w:color="auto" w:fill="F2F2F2"/>
          </w:tcPr>
          <w:p>
            <w:pPr>
              <w:jc w:val="center"/>
            </w:pPr>
            <w:r>
              <w:rPr>
                <w:sz w:val="18"/>
              </w:rPr>
              <w:t>TOX0055</w:t>
            </w:r>
          </w:p>
        </w:tc>
        <w:tc>
          <w:tcPr>
            <w:tcW w:type="dxa" w:w="936"/>
            <w:shd w:val="clear" w:color="auto" w:fill="F2F2F2"/>
          </w:tcPr>
          <w:p>
            <w:pPr>
              <w:jc w:val="center"/>
            </w:pPr>
            <w:r>
              <w:rPr>
                <w:sz w:val="18"/>
              </w:rPr>
              <w:t>NaN</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NaN</w:t>
            </w:r>
          </w:p>
        </w:tc>
        <w:tc>
          <w:tcPr>
            <w:tcW w:type="dxa" w:w="936"/>
            <w:shd w:val="clear" w:color="auto" w:fill="F2F2F2"/>
          </w:tcPr>
          <w:p>
            <w:pPr>
              <w:jc w:val="center"/>
            </w:pPr>
            <w:r>
              <w:rPr>
                <w:sz w:val="18"/>
              </w:rPr>
              <w:t>1</w:t>
            </w:r>
          </w:p>
        </w:tc>
        <w:tc>
          <w:tcPr>
            <w:tcW w:type="dxa" w:w="936"/>
            <w:shd w:val="clear" w:color="auto" w:fill="F2F2F2"/>
          </w:tcPr>
          <w:p>
            <w:pPr>
              <w:jc w:val="center"/>
            </w:pPr>
            <w:r>
              <w:rPr>
                <w:sz w:val="18"/>
              </w:rPr>
              <w:t>NaN</w:t>
            </w:r>
          </w:p>
        </w:tc>
      </w:tr>
      <w:tr>
        <w:tc>
          <w:tcPr>
            <w:tcW w:type="dxa" w:w="3168"/>
            <w:shd w:val="clear" w:color="auto" w:fill="FFFFFF"/>
          </w:tcPr>
          <w:p>
            <w:pPr>
              <w:jc w:val="center"/>
            </w:pPr>
            <w:r>
              <w:rPr>
                <w:sz w:val="18"/>
              </w:rPr>
              <w:t>c1ccc2c(c1)cc1ccc3cccc4ccc2c1c34</w:t>
            </w:r>
          </w:p>
        </w:tc>
        <w:tc>
          <w:tcPr>
            <w:tcW w:type="dxa" w:w="1224"/>
            <w:shd w:val="clear" w:color="auto" w:fill="FFFFFF"/>
          </w:tcPr>
          <w:p>
            <w:pPr>
              <w:jc w:val="center"/>
            </w:pPr>
            <w:r>
              <w:rPr>
                <w:sz w:val="18"/>
              </w:rPr>
              <w:t>TOX3312</w:t>
            </w:r>
          </w:p>
        </w:tc>
        <w:tc>
          <w:tcPr>
            <w:tcW w:type="dxa" w:w="936"/>
            <w:shd w:val="clear" w:color="auto" w:fill="FFFFFF"/>
          </w:tcPr>
          <w:p>
            <w:pPr>
              <w:jc w:val="center"/>
            </w:pPr>
            <w:r>
              <w:rPr>
                <w:sz w:val="18"/>
              </w:rPr>
              <w:t>1</w:t>
            </w:r>
          </w:p>
        </w:tc>
        <w:tc>
          <w:tcPr>
            <w:tcW w:type="dxa" w:w="936"/>
            <w:shd w:val="clear" w:color="auto" w:fill="FFFFFF"/>
          </w:tcPr>
          <w:p>
            <w:pPr>
              <w:jc w:val="center"/>
            </w:pPr>
            <w:r>
              <w:rPr>
                <w:sz w:val="18"/>
              </w:rPr>
              <w:t>1</w:t>
            </w:r>
          </w:p>
        </w:tc>
        <w:tc>
          <w:tcPr>
            <w:tcW w:type="dxa" w:w="936"/>
            <w:shd w:val="clear" w:color="auto" w:fill="FFFFFF"/>
          </w:tcPr>
          <w:p>
            <w:pPr>
              <w:jc w:val="center"/>
            </w:pPr>
            <w:r>
              <w:rPr>
                <w:sz w:val="18"/>
              </w:rPr>
              <w:t>1</w:t>
            </w:r>
          </w:p>
        </w:tc>
        <w:tc>
          <w:tcPr>
            <w:tcW w:type="dxa" w:w="936"/>
            <w:shd w:val="clear" w:color="auto" w:fill="FFFFFF"/>
          </w:tcPr>
          <w:p>
            <w:pPr>
              <w:jc w:val="center"/>
            </w:pPr>
            <w:r>
              <w:rPr>
                <w:sz w:val="18"/>
              </w:rPr>
              <w:t>1</w:t>
            </w:r>
          </w:p>
        </w:tc>
        <w:tc>
          <w:tcPr>
            <w:tcW w:type="dxa" w:w="936"/>
            <w:shd w:val="clear" w:color="auto" w:fill="FFFFFF"/>
          </w:tcPr>
          <w:p>
            <w:pPr>
              <w:jc w:val="center"/>
            </w:pPr>
            <w:r>
              <w:rPr>
                <w:sz w:val="18"/>
              </w:rPr>
              <w:t>1</w:t>
            </w:r>
          </w:p>
        </w:tc>
      </w:tr>
      <w:tr>
        <w:tc>
          <w:tcPr>
            <w:tcW w:type="dxa" w:w="3168"/>
            <w:shd w:val="clear" w:color="auto" w:fill="F2F2F2"/>
          </w:tcPr>
          <w:p>
            <w:pPr>
              <w:jc w:val="center"/>
            </w:pPr>
            <w:r>
              <w:rPr>
                <w:sz w:val="18"/>
              </w:rPr>
              <w:t>CCO</w:t>
            </w:r>
          </w:p>
        </w:tc>
        <w:tc>
          <w:tcPr>
            <w:tcW w:type="dxa" w:w="1224"/>
            <w:shd w:val="clear" w:color="auto" w:fill="F2F2F2"/>
          </w:tcPr>
          <w:p>
            <w:pPr>
              <w:jc w:val="center"/>
            </w:pPr>
            <w:r>
              <w:rPr>
                <w:sz w:val="18"/>
              </w:rPr>
              <w:t>TOX0001</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c>
          <w:tcPr>
            <w:tcW w:type="dxa" w:w="936"/>
            <w:shd w:val="clear" w:color="auto" w:fill="F2F2F2"/>
          </w:tcPr>
          <w:p>
            <w:pPr>
              <w:jc w:val="center"/>
            </w:pPr>
            <w:r>
              <w:rPr>
                <w:sz w:val="18"/>
              </w:rPr>
              <w:t>0</w:t>
            </w:r>
          </w:p>
        </w:tc>
      </w:tr>
    </w:tbl>
    <w:p/>
    <w:p>
      <w:pPr>
        <w:spacing w:before="240" w:after="80"/>
      </w:pPr>
      <w:r>
        <w:rPr>
          <w:b/>
          <w:color w:val="2E74B5"/>
          <w:sz w:val="26"/>
        </w:rPr>
        <w:t>The 12 Toxicity Endpoints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497D"/>
          </w:tcPr>
          <w:p>
            <w:pPr>
              <w:jc w:val="center"/>
            </w:pPr>
            <w:r>
              <w:rPr>
                <w:b/>
                <w:color w:val="FFFFFF"/>
                <w:sz w:val="19"/>
              </w:rPr>
              <w:t>Category</w:t>
            </w:r>
          </w:p>
        </w:tc>
        <w:tc>
          <w:tcPr>
            <w:tcW w:type="dxa" w:w="2160"/>
            <w:shd w:val="clear" w:color="auto" w:fill="1F497D"/>
          </w:tcPr>
          <w:p>
            <w:pPr>
              <w:jc w:val="center"/>
            </w:pPr>
            <w:r>
              <w:rPr>
                <w:b/>
                <w:color w:val="FFFFFF"/>
                <w:sz w:val="19"/>
              </w:rPr>
              <w:t>Endpoint</w:t>
            </w:r>
          </w:p>
        </w:tc>
        <w:tc>
          <w:tcPr>
            <w:tcW w:type="dxa" w:w="4896"/>
            <w:shd w:val="clear" w:color="auto" w:fill="1F497D"/>
          </w:tcPr>
          <w:p>
            <w:pPr>
              <w:jc w:val="center"/>
            </w:pPr>
            <w:r>
              <w:rPr>
                <w:b/>
                <w:color w:val="FFFFFF"/>
                <w:sz w:val="19"/>
              </w:rPr>
              <w:t>Biological Significance</w:t>
            </w:r>
          </w:p>
        </w:tc>
      </w:tr>
      <w:tr>
        <w:tc>
          <w:tcPr>
            <w:tcW w:type="dxa" w:w="2304"/>
            <w:shd w:val="clear" w:color="auto" w:fill="F2F2F2"/>
          </w:tcPr>
          <w:p>
            <w:pPr>
              <w:jc w:val="center"/>
            </w:pPr>
            <w:r>
              <w:rPr>
                <w:sz w:val="18"/>
              </w:rPr>
              <w:t>Nuclear Receptor</w:t>
            </w:r>
          </w:p>
        </w:tc>
        <w:tc>
          <w:tcPr>
            <w:tcW w:type="dxa" w:w="2160"/>
            <w:shd w:val="clear" w:color="auto" w:fill="F2F2F2"/>
          </w:tcPr>
          <w:p>
            <w:pPr>
              <w:jc w:val="center"/>
            </w:pPr>
            <w:r>
              <w:rPr>
                <w:sz w:val="18"/>
              </w:rPr>
              <w:t>NR-AR</w:t>
            </w:r>
          </w:p>
        </w:tc>
        <w:tc>
          <w:tcPr>
            <w:tcW w:type="dxa" w:w="4896"/>
            <w:shd w:val="clear" w:color="auto" w:fill="F2F2F2"/>
          </w:tcPr>
          <w:p>
            <w:pPr>
              <w:jc w:val="center"/>
            </w:pPr>
            <w:r>
              <w:rPr>
                <w:sz w:val="18"/>
              </w:rPr>
              <w:t>Androgen receptor activation (hormonal disruption)</w:t>
            </w:r>
          </w:p>
        </w:tc>
      </w:tr>
      <w:tr>
        <w:tc>
          <w:tcPr>
            <w:tcW w:type="dxa" w:w="2304"/>
            <w:shd w:val="clear" w:color="auto" w:fill="FFFFFF"/>
          </w:tcPr>
          <w:p>
            <w:pPr>
              <w:jc w:val="center"/>
            </w:pPr>
            <w:r>
              <w:rPr>
                <w:sz w:val="18"/>
              </w:rPr>
              <w:t>Nuclear Receptor</w:t>
            </w:r>
          </w:p>
        </w:tc>
        <w:tc>
          <w:tcPr>
            <w:tcW w:type="dxa" w:w="2160"/>
            <w:shd w:val="clear" w:color="auto" w:fill="FFFFFF"/>
          </w:tcPr>
          <w:p>
            <w:pPr>
              <w:jc w:val="center"/>
            </w:pPr>
            <w:r>
              <w:rPr>
                <w:sz w:val="18"/>
              </w:rPr>
              <w:t>NR-AR-LBD</w:t>
            </w:r>
          </w:p>
        </w:tc>
        <w:tc>
          <w:tcPr>
            <w:tcW w:type="dxa" w:w="4896"/>
            <w:shd w:val="clear" w:color="auto" w:fill="FFFFFF"/>
          </w:tcPr>
          <w:p>
            <w:pPr>
              <w:jc w:val="center"/>
            </w:pPr>
            <w:r>
              <w:rPr>
                <w:sz w:val="18"/>
              </w:rPr>
              <w:t>Androgen receptor ligand binding domain</w:t>
            </w:r>
          </w:p>
        </w:tc>
      </w:tr>
      <w:tr>
        <w:tc>
          <w:tcPr>
            <w:tcW w:type="dxa" w:w="2304"/>
            <w:shd w:val="clear" w:color="auto" w:fill="F2F2F2"/>
          </w:tcPr>
          <w:p>
            <w:pPr>
              <w:jc w:val="center"/>
            </w:pPr>
            <w:r>
              <w:rPr>
                <w:sz w:val="18"/>
              </w:rPr>
              <w:t>Nuclear Receptor</w:t>
            </w:r>
          </w:p>
        </w:tc>
        <w:tc>
          <w:tcPr>
            <w:tcW w:type="dxa" w:w="2160"/>
            <w:shd w:val="clear" w:color="auto" w:fill="F2F2F2"/>
          </w:tcPr>
          <w:p>
            <w:pPr>
              <w:jc w:val="center"/>
            </w:pPr>
            <w:r>
              <w:rPr>
                <w:sz w:val="18"/>
              </w:rPr>
              <w:t>NR-AhR</w:t>
            </w:r>
          </w:p>
        </w:tc>
        <w:tc>
          <w:tcPr>
            <w:tcW w:type="dxa" w:w="4896"/>
            <w:shd w:val="clear" w:color="auto" w:fill="F2F2F2"/>
          </w:tcPr>
          <w:p>
            <w:pPr>
              <w:jc w:val="center"/>
            </w:pPr>
            <w:r>
              <w:rPr>
                <w:sz w:val="18"/>
              </w:rPr>
              <w:t>Aryl hydrocarbon receptor (dioxin-like effects)</w:t>
            </w:r>
          </w:p>
        </w:tc>
      </w:tr>
      <w:tr>
        <w:tc>
          <w:tcPr>
            <w:tcW w:type="dxa" w:w="2304"/>
            <w:shd w:val="clear" w:color="auto" w:fill="FFFFFF"/>
          </w:tcPr>
          <w:p>
            <w:pPr>
              <w:jc w:val="center"/>
            </w:pPr>
            <w:r>
              <w:rPr>
                <w:sz w:val="18"/>
              </w:rPr>
              <w:t>Nuclear Receptor</w:t>
            </w:r>
          </w:p>
        </w:tc>
        <w:tc>
          <w:tcPr>
            <w:tcW w:type="dxa" w:w="2160"/>
            <w:shd w:val="clear" w:color="auto" w:fill="FFFFFF"/>
          </w:tcPr>
          <w:p>
            <w:pPr>
              <w:jc w:val="center"/>
            </w:pPr>
            <w:r>
              <w:rPr>
                <w:sz w:val="18"/>
              </w:rPr>
              <w:t>NR-Aromatase</w:t>
            </w:r>
          </w:p>
        </w:tc>
        <w:tc>
          <w:tcPr>
            <w:tcW w:type="dxa" w:w="4896"/>
            <w:shd w:val="clear" w:color="auto" w:fill="FFFFFF"/>
          </w:tcPr>
          <w:p>
            <w:pPr>
              <w:jc w:val="center"/>
            </w:pPr>
            <w:r>
              <w:rPr>
                <w:sz w:val="18"/>
              </w:rPr>
              <w:t>Aromatase inhibition (sex hormone regulation)</w:t>
            </w:r>
          </w:p>
        </w:tc>
      </w:tr>
      <w:tr>
        <w:tc>
          <w:tcPr>
            <w:tcW w:type="dxa" w:w="2304"/>
            <w:shd w:val="clear" w:color="auto" w:fill="F2F2F2"/>
          </w:tcPr>
          <w:p>
            <w:pPr>
              <w:jc w:val="center"/>
            </w:pPr>
            <w:r>
              <w:rPr>
                <w:sz w:val="18"/>
              </w:rPr>
              <w:t>Nuclear Receptor</w:t>
            </w:r>
          </w:p>
        </w:tc>
        <w:tc>
          <w:tcPr>
            <w:tcW w:type="dxa" w:w="2160"/>
            <w:shd w:val="clear" w:color="auto" w:fill="F2F2F2"/>
          </w:tcPr>
          <w:p>
            <w:pPr>
              <w:jc w:val="center"/>
            </w:pPr>
            <w:r>
              <w:rPr>
                <w:sz w:val="18"/>
              </w:rPr>
              <w:t>NR-ER</w:t>
            </w:r>
          </w:p>
        </w:tc>
        <w:tc>
          <w:tcPr>
            <w:tcW w:type="dxa" w:w="4896"/>
            <w:shd w:val="clear" w:color="auto" w:fill="F2F2F2"/>
          </w:tcPr>
          <w:p>
            <w:pPr>
              <w:jc w:val="center"/>
            </w:pPr>
            <w:r>
              <w:rPr>
                <w:sz w:val="18"/>
              </w:rPr>
              <w:t>Estrogen receptor activation (endocrine disruption)</w:t>
            </w:r>
          </w:p>
        </w:tc>
      </w:tr>
      <w:tr>
        <w:tc>
          <w:tcPr>
            <w:tcW w:type="dxa" w:w="2304"/>
            <w:shd w:val="clear" w:color="auto" w:fill="FFFFFF"/>
          </w:tcPr>
          <w:p>
            <w:pPr>
              <w:jc w:val="center"/>
            </w:pPr>
            <w:r>
              <w:rPr>
                <w:sz w:val="18"/>
              </w:rPr>
              <w:t>Nuclear Receptor</w:t>
            </w:r>
          </w:p>
        </w:tc>
        <w:tc>
          <w:tcPr>
            <w:tcW w:type="dxa" w:w="2160"/>
            <w:shd w:val="clear" w:color="auto" w:fill="FFFFFF"/>
          </w:tcPr>
          <w:p>
            <w:pPr>
              <w:jc w:val="center"/>
            </w:pPr>
            <w:r>
              <w:rPr>
                <w:sz w:val="18"/>
              </w:rPr>
              <w:t>NR-ER-LBD</w:t>
            </w:r>
          </w:p>
        </w:tc>
        <w:tc>
          <w:tcPr>
            <w:tcW w:type="dxa" w:w="4896"/>
            <w:shd w:val="clear" w:color="auto" w:fill="FFFFFF"/>
          </w:tcPr>
          <w:p>
            <w:pPr>
              <w:jc w:val="center"/>
            </w:pPr>
            <w:r>
              <w:rPr>
                <w:sz w:val="18"/>
              </w:rPr>
              <w:t>Estrogen receptor ligand binding domain</w:t>
            </w:r>
          </w:p>
        </w:tc>
      </w:tr>
      <w:tr>
        <w:tc>
          <w:tcPr>
            <w:tcW w:type="dxa" w:w="2304"/>
            <w:shd w:val="clear" w:color="auto" w:fill="F2F2F2"/>
          </w:tcPr>
          <w:p>
            <w:pPr>
              <w:jc w:val="center"/>
            </w:pPr>
            <w:r>
              <w:rPr>
                <w:sz w:val="18"/>
              </w:rPr>
              <w:t>Nuclear Receptor</w:t>
            </w:r>
          </w:p>
        </w:tc>
        <w:tc>
          <w:tcPr>
            <w:tcW w:type="dxa" w:w="2160"/>
            <w:shd w:val="clear" w:color="auto" w:fill="F2F2F2"/>
          </w:tcPr>
          <w:p>
            <w:pPr>
              <w:jc w:val="center"/>
            </w:pPr>
            <w:r>
              <w:rPr>
                <w:sz w:val="18"/>
              </w:rPr>
              <w:t>NR-PPAR-gamma</w:t>
            </w:r>
          </w:p>
        </w:tc>
        <w:tc>
          <w:tcPr>
            <w:tcW w:type="dxa" w:w="4896"/>
            <w:shd w:val="clear" w:color="auto" w:fill="F2F2F2"/>
          </w:tcPr>
          <w:p>
            <w:pPr>
              <w:jc w:val="center"/>
            </w:pPr>
            <w:r>
              <w:rPr>
                <w:sz w:val="18"/>
              </w:rPr>
              <w:t>PPAR-gamma activation (metabolic disruption)</w:t>
            </w:r>
          </w:p>
        </w:tc>
      </w:tr>
      <w:tr>
        <w:tc>
          <w:tcPr>
            <w:tcW w:type="dxa" w:w="2304"/>
            <w:shd w:val="clear" w:color="auto" w:fill="FFFFFF"/>
          </w:tcPr>
          <w:p>
            <w:pPr>
              <w:jc w:val="center"/>
            </w:pPr>
            <w:r>
              <w:rPr>
                <w:sz w:val="18"/>
              </w:rPr>
              <w:t>Stress Response</w:t>
            </w:r>
          </w:p>
        </w:tc>
        <w:tc>
          <w:tcPr>
            <w:tcW w:type="dxa" w:w="2160"/>
            <w:shd w:val="clear" w:color="auto" w:fill="FFFFFF"/>
          </w:tcPr>
          <w:p>
            <w:pPr>
              <w:jc w:val="center"/>
            </w:pPr>
            <w:r>
              <w:rPr>
                <w:sz w:val="18"/>
              </w:rPr>
              <w:t>SR-ARE</w:t>
            </w:r>
          </w:p>
        </w:tc>
        <w:tc>
          <w:tcPr>
            <w:tcW w:type="dxa" w:w="4896"/>
            <w:shd w:val="clear" w:color="auto" w:fill="FFFFFF"/>
          </w:tcPr>
          <w:p>
            <w:pPr>
              <w:jc w:val="center"/>
            </w:pPr>
            <w:r>
              <w:rPr>
                <w:sz w:val="18"/>
              </w:rPr>
              <w:t>Antioxidant response / oxidative stress</w:t>
            </w:r>
          </w:p>
        </w:tc>
      </w:tr>
      <w:tr>
        <w:tc>
          <w:tcPr>
            <w:tcW w:type="dxa" w:w="2304"/>
            <w:shd w:val="clear" w:color="auto" w:fill="F2F2F2"/>
          </w:tcPr>
          <w:p>
            <w:pPr>
              <w:jc w:val="center"/>
            </w:pPr>
            <w:r>
              <w:rPr>
                <w:sz w:val="18"/>
              </w:rPr>
              <w:t>Stress Response</w:t>
            </w:r>
          </w:p>
        </w:tc>
        <w:tc>
          <w:tcPr>
            <w:tcW w:type="dxa" w:w="2160"/>
            <w:shd w:val="clear" w:color="auto" w:fill="F2F2F2"/>
          </w:tcPr>
          <w:p>
            <w:pPr>
              <w:jc w:val="center"/>
            </w:pPr>
            <w:r>
              <w:rPr>
                <w:sz w:val="18"/>
              </w:rPr>
              <w:t>SR-ATAD5</w:t>
            </w:r>
          </w:p>
        </w:tc>
        <w:tc>
          <w:tcPr>
            <w:tcW w:type="dxa" w:w="4896"/>
            <w:shd w:val="clear" w:color="auto" w:fill="F2F2F2"/>
          </w:tcPr>
          <w:p>
            <w:pPr>
              <w:jc w:val="center"/>
            </w:pPr>
            <w:r>
              <w:rPr>
                <w:sz w:val="18"/>
              </w:rPr>
              <w:t>DNA damage / genotoxicity marker</w:t>
            </w:r>
          </w:p>
        </w:tc>
      </w:tr>
      <w:tr>
        <w:tc>
          <w:tcPr>
            <w:tcW w:type="dxa" w:w="2304"/>
            <w:shd w:val="clear" w:color="auto" w:fill="FFFFFF"/>
          </w:tcPr>
          <w:p>
            <w:pPr>
              <w:jc w:val="center"/>
            </w:pPr>
            <w:r>
              <w:rPr>
                <w:sz w:val="18"/>
              </w:rPr>
              <w:t>Stress Response</w:t>
            </w:r>
          </w:p>
        </w:tc>
        <w:tc>
          <w:tcPr>
            <w:tcW w:type="dxa" w:w="2160"/>
            <w:shd w:val="clear" w:color="auto" w:fill="FFFFFF"/>
          </w:tcPr>
          <w:p>
            <w:pPr>
              <w:jc w:val="center"/>
            </w:pPr>
            <w:r>
              <w:rPr>
                <w:sz w:val="18"/>
              </w:rPr>
              <w:t>SR-HSE</w:t>
            </w:r>
          </w:p>
        </w:tc>
        <w:tc>
          <w:tcPr>
            <w:tcW w:type="dxa" w:w="4896"/>
            <w:shd w:val="clear" w:color="auto" w:fill="FFFFFF"/>
          </w:tcPr>
          <w:p>
            <w:pPr>
              <w:jc w:val="center"/>
            </w:pPr>
            <w:r>
              <w:rPr>
                <w:sz w:val="18"/>
              </w:rPr>
              <w:t>Heat shock / protein misfolding stress</w:t>
            </w:r>
          </w:p>
        </w:tc>
      </w:tr>
      <w:tr>
        <w:tc>
          <w:tcPr>
            <w:tcW w:type="dxa" w:w="2304"/>
            <w:shd w:val="clear" w:color="auto" w:fill="F2F2F2"/>
          </w:tcPr>
          <w:p>
            <w:pPr>
              <w:jc w:val="center"/>
            </w:pPr>
            <w:r>
              <w:rPr>
                <w:sz w:val="18"/>
              </w:rPr>
              <w:t>Stress Response</w:t>
            </w:r>
          </w:p>
        </w:tc>
        <w:tc>
          <w:tcPr>
            <w:tcW w:type="dxa" w:w="2160"/>
            <w:shd w:val="clear" w:color="auto" w:fill="F2F2F2"/>
          </w:tcPr>
          <w:p>
            <w:pPr>
              <w:jc w:val="center"/>
            </w:pPr>
            <w:r>
              <w:rPr>
                <w:sz w:val="18"/>
              </w:rPr>
              <w:t>SR-MMP</w:t>
            </w:r>
          </w:p>
        </w:tc>
        <w:tc>
          <w:tcPr>
            <w:tcW w:type="dxa" w:w="4896"/>
            <w:shd w:val="clear" w:color="auto" w:fill="F2F2F2"/>
          </w:tcPr>
          <w:p>
            <w:pPr>
              <w:jc w:val="center"/>
            </w:pPr>
            <w:r>
              <w:rPr>
                <w:sz w:val="18"/>
              </w:rPr>
              <w:t>Mitochondrial membrane potential disruption</w:t>
            </w:r>
          </w:p>
        </w:tc>
      </w:tr>
      <w:tr>
        <w:tc>
          <w:tcPr>
            <w:tcW w:type="dxa" w:w="2304"/>
            <w:shd w:val="clear" w:color="auto" w:fill="FFFFFF"/>
          </w:tcPr>
          <w:p>
            <w:pPr>
              <w:jc w:val="center"/>
            </w:pPr>
            <w:r>
              <w:rPr>
                <w:sz w:val="18"/>
              </w:rPr>
              <w:t>Stress Response</w:t>
            </w:r>
          </w:p>
        </w:tc>
        <w:tc>
          <w:tcPr>
            <w:tcW w:type="dxa" w:w="2160"/>
            <w:shd w:val="clear" w:color="auto" w:fill="FFFFFF"/>
          </w:tcPr>
          <w:p>
            <w:pPr>
              <w:jc w:val="center"/>
            </w:pPr>
            <w:r>
              <w:rPr>
                <w:sz w:val="18"/>
              </w:rPr>
              <w:t>SR-p53</w:t>
            </w:r>
          </w:p>
        </w:tc>
        <w:tc>
          <w:tcPr>
            <w:tcW w:type="dxa" w:w="4896"/>
            <w:shd w:val="clear" w:color="auto" w:fill="FFFFFF"/>
          </w:tcPr>
          <w:p>
            <w:pPr>
              <w:jc w:val="center"/>
            </w:pPr>
            <w:r>
              <w:rPr>
                <w:sz w:val="18"/>
              </w:rPr>
              <w:t>p53 activation (DNA damage / apoptosis)</w:t>
            </w:r>
          </w:p>
        </w:tc>
      </w:tr>
    </w:tbl>
    <w:p/>
    <w:p>
      <w:pPr>
        <w:spacing w:before="360" w:after="120"/>
        <w:pBdr>
          <w:bottom w:val="single" w:sz="6" w:space="1" w:color="2E74B5"/>
        </w:pBdr>
      </w:pPr>
      <w:r>
        <w:rPr>
          <w:b/>
          <w:color w:val="1F497D"/>
          <w:sz w:val="36"/>
        </w:rPr>
        <w:t>3. Basic Dataset Statistics</w:t>
      </w:r>
    </w:p>
    <w:p>
      <w:pPr>
        <w:spacing w:before="240" w:after="80"/>
      </w:pPr>
      <w:r>
        <w:rPr>
          <w:b/>
          <w:color w:val="2E74B5"/>
          <w:sz w:val="26"/>
        </w:rPr>
        <w:t>Overall</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497D"/>
          </w:tcPr>
          <w:p>
            <w:pPr>
              <w:jc w:val="center"/>
            </w:pPr>
            <w:r>
              <w:rPr>
                <w:b/>
                <w:color w:val="FFFFFF"/>
                <w:sz w:val="19"/>
              </w:rPr>
              <w:t>Property</w:t>
            </w:r>
          </w:p>
        </w:tc>
        <w:tc>
          <w:tcPr>
            <w:tcW w:type="dxa" w:w="5328"/>
            <w:shd w:val="clear" w:color="auto" w:fill="1F497D"/>
          </w:tcPr>
          <w:p>
            <w:pPr>
              <w:jc w:val="center"/>
            </w:pPr>
            <w:r>
              <w:rPr>
                <w:b/>
                <w:color w:val="FFFFFF"/>
                <w:sz w:val="19"/>
              </w:rPr>
              <w:t>Value</w:t>
            </w:r>
          </w:p>
        </w:tc>
      </w:tr>
      <w:tr>
        <w:tc>
          <w:tcPr>
            <w:tcW w:type="dxa" w:w="4032"/>
            <w:shd w:val="clear" w:color="auto" w:fill="F2F2F2"/>
          </w:tcPr>
          <w:p>
            <w:pPr>
              <w:jc w:val="center"/>
            </w:pPr>
            <w:r>
              <w:rPr>
                <w:sz w:val="18"/>
              </w:rPr>
              <w:t>Total compounds</w:t>
            </w:r>
          </w:p>
        </w:tc>
        <w:tc>
          <w:tcPr>
            <w:tcW w:type="dxa" w:w="5328"/>
            <w:shd w:val="clear" w:color="auto" w:fill="F2F2F2"/>
          </w:tcPr>
          <w:p>
            <w:pPr>
              <w:jc w:val="center"/>
            </w:pPr>
            <w:r>
              <w:rPr>
                <w:sz w:val="18"/>
              </w:rPr>
              <w:t>7,831</w:t>
            </w:r>
          </w:p>
        </w:tc>
      </w:tr>
      <w:tr>
        <w:tc>
          <w:tcPr>
            <w:tcW w:type="dxa" w:w="4032"/>
            <w:shd w:val="clear" w:color="auto" w:fill="FFFFFF"/>
          </w:tcPr>
          <w:p>
            <w:pPr>
              <w:jc w:val="center"/>
            </w:pPr>
            <w:r>
              <w:rPr>
                <w:sz w:val="18"/>
              </w:rPr>
              <w:t>Valid SMILES</w:t>
            </w:r>
          </w:p>
        </w:tc>
        <w:tc>
          <w:tcPr>
            <w:tcW w:type="dxa" w:w="5328"/>
            <w:shd w:val="clear" w:color="auto" w:fill="FFFFFF"/>
          </w:tcPr>
          <w:p>
            <w:pPr>
              <w:jc w:val="center"/>
            </w:pPr>
            <w:r>
              <w:rPr>
                <w:sz w:val="18"/>
              </w:rPr>
              <w:t>7,823</w:t>
            </w:r>
          </w:p>
        </w:tc>
      </w:tr>
      <w:tr>
        <w:tc>
          <w:tcPr>
            <w:tcW w:type="dxa" w:w="4032"/>
            <w:shd w:val="clear" w:color="auto" w:fill="F2F2F2"/>
          </w:tcPr>
          <w:p>
            <w:pPr>
              <w:jc w:val="center"/>
            </w:pPr>
            <w:r>
              <w:rPr>
                <w:sz w:val="18"/>
              </w:rPr>
              <w:t>Skipped (invalid SMILES)</w:t>
            </w:r>
          </w:p>
        </w:tc>
        <w:tc>
          <w:tcPr>
            <w:tcW w:type="dxa" w:w="5328"/>
            <w:shd w:val="clear" w:color="auto" w:fill="F2F2F2"/>
          </w:tcPr>
          <w:p>
            <w:pPr>
              <w:jc w:val="center"/>
            </w:pPr>
            <w:r>
              <w:rPr>
                <w:sz w:val="18"/>
              </w:rPr>
              <w:t>8 (aluminum-containing; RDKit cannot parse)</w:t>
            </w:r>
          </w:p>
        </w:tc>
      </w:tr>
      <w:tr>
        <w:tc>
          <w:tcPr>
            <w:tcW w:type="dxa" w:w="4032"/>
            <w:shd w:val="clear" w:color="auto" w:fill="FFFFFF"/>
          </w:tcPr>
          <w:p>
            <w:pPr>
              <w:jc w:val="center"/>
            </w:pPr>
            <w:r>
              <w:rPr>
                <w:sz w:val="18"/>
              </w:rPr>
              <w:t>Toxicity endpoints</w:t>
            </w:r>
          </w:p>
        </w:tc>
        <w:tc>
          <w:tcPr>
            <w:tcW w:type="dxa" w:w="5328"/>
            <w:shd w:val="clear" w:color="auto" w:fill="FFFFFF"/>
          </w:tcPr>
          <w:p>
            <w:pPr>
              <w:jc w:val="center"/>
            </w:pPr>
            <w:r>
              <w:rPr>
                <w:sz w:val="18"/>
              </w:rPr>
              <w:t>12</w:t>
            </w:r>
          </w:p>
        </w:tc>
      </w:tr>
      <w:tr>
        <w:tc>
          <w:tcPr>
            <w:tcW w:type="dxa" w:w="4032"/>
            <w:shd w:val="clear" w:color="auto" w:fill="F2F2F2"/>
          </w:tcPr>
          <w:p>
            <w:pPr>
              <w:jc w:val="center"/>
            </w:pPr>
            <w:r>
              <w:rPr>
                <w:b/>
                <w:sz w:val="18"/>
              </w:rPr>
              <w:t>Mean missing label rate</w:t>
            </w:r>
          </w:p>
        </w:tc>
        <w:tc>
          <w:tcPr>
            <w:tcW w:type="dxa" w:w="5328"/>
            <w:shd w:val="clear" w:color="auto" w:fill="F2F2F2"/>
          </w:tcPr>
          <w:p>
            <w:pPr>
              <w:jc w:val="center"/>
            </w:pPr>
            <w:r>
              <w:rPr>
                <w:sz w:val="18"/>
              </w:rPr>
              <w:t>17.1%</w:t>
            </w:r>
          </w:p>
        </w:tc>
      </w:tr>
      <w:tr>
        <w:tc>
          <w:tcPr>
            <w:tcW w:type="dxa" w:w="4032"/>
            <w:shd w:val="clear" w:color="auto" w:fill="FFFFFF"/>
          </w:tcPr>
          <w:p>
            <w:pPr>
              <w:jc w:val="center"/>
            </w:pPr>
            <w:r>
              <w:rPr>
                <w:sz w:val="18"/>
              </w:rPr>
              <w:t>Dataset split</w:t>
            </w:r>
          </w:p>
        </w:tc>
        <w:tc>
          <w:tcPr>
            <w:tcW w:type="dxa" w:w="5328"/>
            <w:shd w:val="clear" w:color="auto" w:fill="FFFFFF"/>
          </w:tcPr>
          <w:p>
            <w:pPr>
              <w:jc w:val="center"/>
            </w:pPr>
            <w:r>
              <w:rPr>
                <w:sz w:val="18"/>
              </w:rPr>
              <w:t>80% train / 10% val / 10% test (stratified)</w:t>
            </w:r>
          </w:p>
        </w:tc>
      </w:tr>
      <w:tr>
        <w:tc>
          <w:tcPr>
            <w:tcW w:type="dxa" w:w="4032"/>
            <w:shd w:val="clear" w:color="auto" w:fill="F2F2F2"/>
          </w:tcPr>
          <w:p>
            <w:pPr>
              <w:jc w:val="center"/>
            </w:pPr>
            <w:r>
              <w:rPr>
                <w:sz w:val="18"/>
              </w:rPr>
              <w:t>Train samples</w:t>
            </w:r>
          </w:p>
        </w:tc>
        <w:tc>
          <w:tcPr>
            <w:tcW w:type="dxa" w:w="5328"/>
            <w:shd w:val="clear" w:color="auto" w:fill="F2F2F2"/>
          </w:tcPr>
          <w:p>
            <w:pPr>
              <w:jc w:val="center"/>
            </w:pPr>
            <w:r>
              <w:rPr>
                <w:sz w:val="18"/>
              </w:rPr>
              <w:t>6,258</w:t>
            </w:r>
          </w:p>
        </w:tc>
      </w:tr>
      <w:tr>
        <w:tc>
          <w:tcPr>
            <w:tcW w:type="dxa" w:w="4032"/>
            <w:shd w:val="clear" w:color="auto" w:fill="FFFFFF"/>
          </w:tcPr>
          <w:p>
            <w:pPr>
              <w:jc w:val="center"/>
            </w:pPr>
            <w:r>
              <w:rPr>
                <w:sz w:val="18"/>
              </w:rPr>
              <w:t>Validation samples</w:t>
            </w:r>
          </w:p>
        </w:tc>
        <w:tc>
          <w:tcPr>
            <w:tcW w:type="dxa" w:w="5328"/>
            <w:shd w:val="clear" w:color="auto" w:fill="FFFFFF"/>
          </w:tcPr>
          <w:p>
            <w:pPr>
              <w:jc w:val="center"/>
            </w:pPr>
            <w:r>
              <w:rPr>
                <w:sz w:val="18"/>
              </w:rPr>
              <w:t>782</w:t>
            </w:r>
          </w:p>
        </w:tc>
      </w:tr>
      <w:tr>
        <w:tc>
          <w:tcPr>
            <w:tcW w:type="dxa" w:w="4032"/>
            <w:shd w:val="clear" w:color="auto" w:fill="F2F2F2"/>
          </w:tcPr>
          <w:p>
            <w:pPr>
              <w:jc w:val="center"/>
            </w:pPr>
            <w:r>
              <w:rPr>
                <w:sz w:val="18"/>
              </w:rPr>
              <w:t>Test samples</w:t>
            </w:r>
          </w:p>
        </w:tc>
        <w:tc>
          <w:tcPr>
            <w:tcW w:type="dxa" w:w="5328"/>
            <w:shd w:val="clear" w:color="auto" w:fill="F2F2F2"/>
          </w:tcPr>
          <w:p>
            <w:pPr>
              <w:jc w:val="center"/>
            </w:pPr>
            <w:r>
              <w:rPr>
                <w:sz w:val="18"/>
              </w:rPr>
              <w:t>783</w:t>
            </w:r>
          </w:p>
        </w:tc>
      </w:tr>
    </w:tbl>
    <w:p/>
    <w:p>
      <w:pPr>
        <w:spacing w:before="240" w:after="80"/>
      </w:pPr>
      <w:r>
        <w:rPr>
          <w:b/>
          <w:color w:val="2E74B5"/>
          <w:sz w:val="26"/>
        </w:rPr>
        <w:t>Per-Endpoint Label Distribution (Full Dataset)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304"/>
            <w:shd w:val="clear" w:color="auto" w:fill="1F497D"/>
          </w:tcPr>
          <w:p>
            <w:pPr>
              <w:jc w:val="center"/>
            </w:pPr>
            <w:r>
              <w:rPr>
                <w:b/>
                <w:color w:val="FFFFFF"/>
                <w:sz w:val="19"/>
              </w:rPr>
              <w:t>Endpoint</w:t>
            </w:r>
          </w:p>
        </w:tc>
        <w:tc>
          <w:tcPr>
            <w:tcW w:type="dxa" w:w="1584"/>
            <w:shd w:val="clear" w:color="auto" w:fill="1F497D"/>
          </w:tcPr>
          <w:p>
            <w:pPr>
              <w:jc w:val="center"/>
            </w:pPr>
            <w:r>
              <w:rPr>
                <w:b/>
                <w:color w:val="FFFFFF"/>
                <w:sz w:val="19"/>
              </w:rPr>
              <w:t>Available</w:t>
            </w:r>
          </w:p>
        </w:tc>
        <w:tc>
          <w:tcPr>
            <w:tcW w:type="dxa" w:w="1584"/>
            <w:shd w:val="clear" w:color="auto" w:fill="1F497D"/>
          </w:tcPr>
          <w:p>
            <w:pPr>
              <w:jc w:val="center"/>
            </w:pPr>
            <w:r>
              <w:rPr>
                <w:b/>
                <w:color w:val="FFFFFF"/>
                <w:sz w:val="19"/>
              </w:rPr>
              <w:t>Positives</w:t>
            </w:r>
          </w:p>
        </w:tc>
        <w:tc>
          <w:tcPr>
            <w:tcW w:type="dxa" w:w="1440"/>
            <w:shd w:val="clear" w:color="auto" w:fill="1F497D"/>
          </w:tcPr>
          <w:p>
            <w:pPr>
              <w:jc w:val="center"/>
            </w:pPr>
            <w:r>
              <w:rPr>
                <w:b/>
                <w:color w:val="FFFFFF"/>
                <w:sz w:val="19"/>
              </w:rPr>
              <w:t>Pos Rate</w:t>
            </w:r>
          </w:p>
        </w:tc>
        <w:tc>
          <w:tcPr>
            <w:tcW w:type="dxa" w:w="1440"/>
            <w:shd w:val="clear" w:color="auto" w:fill="1F497D"/>
          </w:tcPr>
          <w:p>
            <w:pPr>
              <w:jc w:val="center"/>
            </w:pPr>
            <w:r>
              <w:rPr>
                <w:b/>
                <w:color w:val="FFFFFF"/>
                <w:sz w:val="19"/>
              </w:rPr>
              <w:t>Missing</w:t>
            </w:r>
          </w:p>
        </w:tc>
      </w:tr>
      <w:tr>
        <w:tc>
          <w:tcPr>
            <w:tcW w:type="dxa" w:w="2304"/>
            <w:shd w:val="clear" w:color="auto" w:fill="F2F2F2"/>
          </w:tcPr>
          <w:p>
            <w:pPr>
              <w:jc w:val="center"/>
            </w:pPr>
            <w:r>
              <w:rPr>
                <w:sz w:val="18"/>
              </w:rPr>
              <w:t>NR-AR</w:t>
            </w:r>
          </w:p>
        </w:tc>
        <w:tc>
          <w:tcPr>
            <w:tcW w:type="dxa" w:w="1584"/>
            <w:shd w:val="clear" w:color="auto" w:fill="F2F2F2"/>
          </w:tcPr>
          <w:p>
            <w:pPr>
              <w:jc w:val="center"/>
            </w:pPr>
            <w:r>
              <w:rPr>
                <w:sz w:val="18"/>
              </w:rPr>
              <w:t>7,265</w:t>
            </w:r>
          </w:p>
        </w:tc>
        <w:tc>
          <w:tcPr>
            <w:tcW w:type="dxa" w:w="1584"/>
            <w:shd w:val="clear" w:color="auto" w:fill="F2F2F2"/>
          </w:tcPr>
          <w:p>
            <w:pPr>
              <w:jc w:val="center"/>
            </w:pPr>
            <w:r>
              <w:rPr>
                <w:sz w:val="18"/>
              </w:rPr>
              <w:t>309</w:t>
            </w:r>
          </w:p>
        </w:tc>
        <w:tc>
          <w:tcPr>
            <w:tcW w:type="dxa" w:w="1440"/>
            <w:shd w:val="clear" w:color="auto" w:fill="F2F2F2"/>
          </w:tcPr>
          <w:p>
            <w:pPr>
              <w:jc w:val="center"/>
            </w:pPr>
            <w:r>
              <w:rPr>
                <w:sz w:val="18"/>
              </w:rPr>
              <w:t>4.3%</w:t>
            </w:r>
          </w:p>
        </w:tc>
        <w:tc>
          <w:tcPr>
            <w:tcW w:type="dxa" w:w="1440"/>
            <w:shd w:val="clear" w:color="auto" w:fill="F2F2F2"/>
          </w:tcPr>
          <w:p>
            <w:pPr>
              <w:jc w:val="center"/>
            </w:pPr>
            <w:r>
              <w:rPr>
                <w:sz w:val="18"/>
              </w:rPr>
              <w:t>566</w:t>
            </w:r>
          </w:p>
        </w:tc>
      </w:tr>
      <w:tr>
        <w:tc>
          <w:tcPr>
            <w:tcW w:type="dxa" w:w="2304"/>
            <w:shd w:val="clear" w:color="auto" w:fill="FFFFFF"/>
          </w:tcPr>
          <w:p>
            <w:pPr>
              <w:jc w:val="center"/>
            </w:pPr>
            <w:r>
              <w:rPr>
                <w:sz w:val="18"/>
              </w:rPr>
              <w:t>NR-AR-LBD</w:t>
            </w:r>
          </w:p>
        </w:tc>
        <w:tc>
          <w:tcPr>
            <w:tcW w:type="dxa" w:w="1584"/>
            <w:shd w:val="clear" w:color="auto" w:fill="FFFFFF"/>
          </w:tcPr>
          <w:p>
            <w:pPr>
              <w:jc w:val="center"/>
            </w:pPr>
            <w:r>
              <w:rPr>
                <w:sz w:val="18"/>
              </w:rPr>
              <w:t>6,758</w:t>
            </w:r>
          </w:p>
        </w:tc>
        <w:tc>
          <w:tcPr>
            <w:tcW w:type="dxa" w:w="1584"/>
            <w:shd w:val="clear" w:color="auto" w:fill="FFFFFF"/>
          </w:tcPr>
          <w:p>
            <w:pPr>
              <w:jc w:val="center"/>
            </w:pPr>
            <w:r>
              <w:rPr>
                <w:sz w:val="18"/>
              </w:rPr>
              <w:t>237</w:t>
            </w:r>
          </w:p>
        </w:tc>
        <w:tc>
          <w:tcPr>
            <w:tcW w:type="dxa" w:w="1440"/>
            <w:shd w:val="clear" w:color="auto" w:fill="FFFFFF"/>
          </w:tcPr>
          <w:p>
            <w:pPr>
              <w:jc w:val="center"/>
            </w:pPr>
            <w:r>
              <w:rPr>
                <w:sz w:val="18"/>
              </w:rPr>
              <w:t>3.5%</w:t>
            </w:r>
          </w:p>
        </w:tc>
        <w:tc>
          <w:tcPr>
            <w:tcW w:type="dxa" w:w="1440"/>
            <w:shd w:val="clear" w:color="auto" w:fill="FFFFFF"/>
          </w:tcPr>
          <w:p>
            <w:pPr>
              <w:jc w:val="center"/>
            </w:pPr>
            <w:r>
              <w:rPr>
                <w:sz w:val="18"/>
              </w:rPr>
              <w:t>1,073</w:t>
            </w:r>
          </w:p>
        </w:tc>
      </w:tr>
      <w:tr>
        <w:tc>
          <w:tcPr>
            <w:tcW w:type="dxa" w:w="2304"/>
            <w:shd w:val="clear" w:color="auto" w:fill="F2F2F2"/>
          </w:tcPr>
          <w:p>
            <w:pPr>
              <w:jc w:val="center"/>
            </w:pPr>
            <w:r>
              <w:rPr>
                <w:sz w:val="18"/>
              </w:rPr>
              <w:t>NR-AhR</w:t>
            </w:r>
          </w:p>
        </w:tc>
        <w:tc>
          <w:tcPr>
            <w:tcW w:type="dxa" w:w="1584"/>
            <w:shd w:val="clear" w:color="auto" w:fill="F2F2F2"/>
          </w:tcPr>
          <w:p>
            <w:pPr>
              <w:jc w:val="center"/>
            </w:pPr>
            <w:r>
              <w:rPr>
                <w:sz w:val="18"/>
              </w:rPr>
              <w:t>6,549</w:t>
            </w:r>
          </w:p>
        </w:tc>
        <w:tc>
          <w:tcPr>
            <w:tcW w:type="dxa" w:w="1584"/>
            <w:shd w:val="clear" w:color="auto" w:fill="F2F2F2"/>
          </w:tcPr>
          <w:p>
            <w:pPr>
              <w:jc w:val="center"/>
            </w:pPr>
            <w:r>
              <w:rPr>
                <w:sz w:val="18"/>
              </w:rPr>
              <w:t>768</w:t>
            </w:r>
          </w:p>
        </w:tc>
        <w:tc>
          <w:tcPr>
            <w:tcW w:type="dxa" w:w="1440"/>
            <w:shd w:val="clear" w:color="auto" w:fill="F2F2F2"/>
          </w:tcPr>
          <w:p>
            <w:pPr>
              <w:jc w:val="center"/>
            </w:pPr>
            <w:r>
              <w:rPr>
                <w:sz w:val="18"/>
              </w:rPr>
              <w:t>11.7%</w:t>
            </w:r>
          </w:p>
        </w:tc>
        <w:tc>
          <w:tcPr>
            <w:tcW w:type="dxa" w:w="1440"/>
            <w:shd w:val="clear" w:color="auto" w:fill="F2F2F2"/>
          </w:tcPr>
          <w:p>
            <w:pPr>
              <w:jc w:val="center"/>
            </w:pPr>
            <w:r>
              <w:rPr>
                <w:sz w:val="18"/>
              </w:rPr>
              <w:t>1,282</w:t>
            </w:r>
          </w:p>
        </w:tc>
      </w:tr>
      <w:tr>
        <w:tc>
          <w:tcPr>
            <w:tcW w:type="dxa" w:w="2304"/>
            <w:shd w:val="clear" w:color="auto" w:fill="FFFFFF"/>
          </w:tcPr>
          <w:p>
            <w:pPr>
              <w:jc w:val="center"/>
            </w:pPr>
            <w:r>
              <w:rPr>
                <w:sz w:val="18"/>
              </w:rPr>
              <w:t>NR-Aromatase</w:t>
            </w:r>
          </w:p>
        </w:tc>
        <w:tc>
          <w:tcPr>
            <w:tcW w:type="dxa" w:w="1584"/>
            <w:shd w:val="clear" w:color="auto" w:fill="FFFFFF"/>
          </w:tcPr>
          <w:p>
            <w:pPr>
              <w:jc w:val="center"/>
            </w:pPr>
            <w:r>
              <w:rPr>
                <w:sz w:val="18"/>
              </w:rPr>
              <w:t>5,821</w:t>
            </w:r>
          </w:p>
        </w:tc>
        <w:tc>
          <w:tcPr>
            <w:tcW w:type="dxa" w:w="1584"/>
            <w:shd w:val="clear" w:color="auto" w:fill="FFFFFF"/>
          </w:tcPr>
          <w:p>
            <w:pPr>
              <w:jc w:val="center"/>
            </w:pPr>
            <w:r>
              <w:rPr>
                <w:sz w:val="18"/>
              </w:rPr>
              <w:t>300</w:t>
            </w:r>
          </w:p>
        </w:tc>
        <w:tc>
          <w:tcPr>
            <w:tcW w:type="dxa" w:w="1440"/>
            <w:shd w:val="clear" w:color="auto" w:fill="FFFFFF"/>
          </w:tcPr>
          <w:p>
            <w:pPr>
              <w:jc w:val="center"/>
            </w:pPr>
            <w:r>
              <w:rPr>
                <w:sz w:val="18"/>
              </w:rPr>
              <w:t>5.2%</w:t>
            </w:r>
          </w:p>
        </w:tc>
        <w:tc>
          <w:tcPr>
            <w:tcW w:type="dxa" w:w="1440"/>
            <w:shd w:val="clear" w:color="auto" w:fill="FFFFFF"/>
          </w:tcPr>
          <w:p>
            <w:pPr>
              <w:jc w:val="center"/>
            </w:pPr>
            <w:r>
              <w:rPr>
                <w:sz w:val="18"/>
              </w:rPr>
              <w:t>2,010</w:t>
            </w:r>
          </w:p>
        </w:tc>
      </w:tr>
      <w:tr>
        <w:tc>
          <w:tcPr>
            <w:tcW w:type="dxa" w:w="2304"/>
            <w:shd w:val="clear" w:color="auto" w:fill="F2F2F2"/>
          </w:tcPr>
          <w:p>
            <w:pPr>
              <w:jc w:val="center"/>
            </w:pPr>
            <w:r>
              <w:rPr>
                <w:sz w:val="18"/>
              </w:rPr>
              <w:t>NR-ER</w:t>
            </w:r>
          </w:p>
        </w:tc>
        <w:tc>
          <w:tcPr>
            <w:tcW w:type="dxa" w:w="1584"/>
            <w:shd w:val="clear" w:color="auto" w:fill="F2F2F2"/>
          </w:tcPr>
          <w:p>
            <w:pPr>
              <w:jc w:val="center"/>
            </w:pPr>
            <w:r>
              <w:rPr>
                <w:sz w:val="18"/>
              </w:rPr>
              <w:t>6,193</w:t>
            </w:r>
          </w:p>
        </w:tc>
        <w:tc>
          <w:tcPr>
            <w:tcW w:type="dxa" w:w="1584"/>
            <w:shd w:val="clear" w:color="auto" w:fill="F2F2F2"/>
          </w:tcPr>
          <w:p>
            <w:pPr>
              <w:jc w:val="center"/>
            </w:pPr>
            <w:r>
              <w:rPr>
                <w:sz w:val="18"/>
              </w:rPr>
              <w:t>793</w:t>
            </w:r>
          </w:p>
        </w:tc>
        <w:tc>
          <w:tcPr>
            <w:tcW w:type="dxa" w:w="1440"/>
            <w:shd w:val="clear" w:color="auto" w:fill="F2F2F2"/>
          </w:tcPr>
          <w:p>
            <w:pPr>
              <w:jc w:val="center"/>
            </w:pPr>
            <w:r>
              <w:rPr>
                <w:sz w:val="18"/>
              </w:rPr>
              <w:t>12.8%</w:t>
            </w:r>
          </w:p>
        </w:tc>
        <w:tc>
          <w:tcPr>
            <w:tcW w:type="dxa" w:w="1440"/>
            <w:shd w:val="clear" w:color="auto" w:fill="F2F2F2"/>
          </w:tcPr>
          <w:p>
            <w:pPr>
              <w:jc w:val="center"/>
            </w:pPr>
            <w:r>
              <w:rPr>
                <w:sz w:val="18"/>
              </w:rPr>
              <w:t>1,638</w:t>
            </w:r>
          </w:p>
        </w:tc>
      </w:tr>
      <w:tr>
        <w:tc>
          <w:tcPr>
            <w:tcW w:type="dxa" w:w="2304"/>
            <w:shd w:val="clear" w:color="auto" w:fill="FFFFFF"/>
          </w:tcPr>
          <w:p>
            <w:pPr>
              <w:jc w:val="center"/>
            </w:pPr>
            <w:r>
              <w:rPr>
                <w:sz w:val="18"/>
              </w:rPr>
              <w:t>NR-ER-LBD</w:t>
            </w:r>
          </w:p>
        </w:tc>
        <w:tc>
          <w:tcPr>
            <w:tcW w:type="dxa" w:w="1584"/>
            <w:shd w:val="clear" w:color="auto" w:fill="FFFFFF"/>
          </w:tcPr>
          <w:p>
            <w:pPr>
              <w:jc w:val="center"/>
            </w:pPr>
            <w:r>
              <w:rPr>
                <w:sz w:val="18"/>
              </w:rPr>
              <w:t>6,955</w:t>
            </w:r>
          </w:p>
        </w:tc>
        <w:tc>
          <w:tcPr>
            <w:tcW w:type="dxa" w:w="1584"/>
            <w:shd w:val="clear" w:color="auto" w:fill="FFFFFF"/>
          </w:tcPr>
          <w:p>
            <w:pPr>
              <w:jc w:val="center"/>
            </w:pPr>
            <w:r>
              <w:rPr>
                <w:sz w:val="18"/>
              </w:rPr>
              <w:t>350</w:t>
            </w:r>
          </w:p>
        </w:tc>
        <w:tc>
          <w:tcPr>
            <w:tcW w:type="dxa" w:w="1440"/>
            <w:shd w:val="clear" w:color="auto" w:fill="FFFFFF"/>
          </w:tcPr>
          <w:p>
            <w:pPr>
              <w:jc w:val="center"/>
            </w:pPr>
            <w:r>
              <w:rPr>
                <w:sz w:val="18"/>
              </w:rPr>
              <w:t>5.0%</w:t>
            </w:r>
          </w:p>
        </w:tc>
        <w:tc>
          <w:tcPr>
            <w:tcW w:type="dxa" w:w="1440"/>
            <w:shd w:val="clear" w:color="auto" w:fill="FFFFFF"/>
          </w:tcPr>
          <w:p>
            <w:pPr>
              <w:jc w:val="center"/>
            </w:pPr>
            <w:r>
              <w:rPr>
                <w:sz w:val="18"/>
              </w:rPr>
              <w:t>876</w:t>
            </w:r>
          </w:p>
        </w:tc>
      </w:tr>
      <w:tr>
        <w:tc>
          <w:tcPr>
            <w:tcW w:type="dxa" w:w="2304"/>
            <w:shd w:val="clear" w:color="auto" w:fill="F2F2F2"/>
          </w:tcPr>
          <w:p>
            <w:pPr>
              <w:jc w:val="center"/>
            </w:pPr>
            <w:r>
              <w:rPr>
                <w:sz w:val="18"/>
              </w:rPr>
              <w:t>NR-PPAR-gamma</w:t>
            </w:r>
          </w:p>
        </w:tc>
        <w:tc>
          <w:tcPr>
            <w:tcW w:type="dxa" w:w="1584"/>
            <w:shd w:val="clear" w:color="auto" w:fill="F2F2F2"/>
          </w:tcPr>
          <w:p>
            <w:pPr>
              <w:jc w:val="center"/>
            </w:pPr>
            <w:r>
              <w:rPr>
                <w:sz w:val="18"/>
              </w:rPr>
              <w:t>6,450</w:t>
            </w:r>
          </w:p>
        </w:tc>
        <w:tc>
          <w:tcPr>
            <w:tcW w:type="dxa" w:w="1584"/>
            <w:shd w:val="clear" w:color="auto" w:fill="F2F2F2"/>
          </w:tcPr>
          <w:p>
            <w:pPr>
              <w:jc w:val="center"/>
            </w:pPr>
            <w:r>
              <w:rPr>
                <w:sz w:val="18"/>
              </w:rPr>
              <w:t>186</w:t>
            </w:r>
          </w:p>
        </w:tc>
        <w:tc>
          <w:tcPr>
            <w:tcW w:type="dxa" w:w="1440"/>
            <w:shd w:val="clear" w:color="auto" w:fill="F2F2F2"/>
          </w:tcPr>
          <w:p>
            <w:pPr>
              <w:jc w:val="center"/>
            </w:pPr>
            <w:r>
              <w:rPr>
                <w:sz w:val="18"/>
              </w:rPr>
              <w:t>2.9%</w:t>
            </w:r>
          </w:p>
        </w:tc>
        <w:tc>
          <w:tcPr>
            <w:tcW w:type="dxa" w:w="1440"/>
            <w:shd w:val="clear" w:color="auto" w:fill="F2F2F2"/>
          </w:tcPr>
          <w:p>
            <w:pPr>
              <w:jc w:val="center"/>
            </w:pPr>
            <w:r>
              <w:rPr>
                <w:sz w:val="18"/>
              </w:rPr>
              <w:t>1,381</w:t>
            </w:r>
          </w:p>
        </w:tc>
      </w:tr>
      <w:tr>
        <w:tc>
          <w:tcPr>
            <w:tcW w:type="dxa" w:w="2304"/>
            <w:shd w:val="clear" w:color="auto" w:fill="FFFFFF"/>
          </w:tcPr>
          <w:p>
            <w:pPr>
              <w:jc w:val="center"/>
            </w:pPr>
            <w:r>
              <w:rPr>
                <w:sz w:val="18"/>
              </w:rPr>
              <w:t>SR-ARE</w:t>
            </w:r>
          </w:p>
        </w:tc>
        <w:tc>
          <w:tcPr>
            <w:tcW w:type="dxa" w:w="1584"/>
            <w:shd w:val="clear" w:color="auto" w:fill="FFFFFF"/>
          </w:tcPr>
          <w:p>
            <w:pPr>
              <w:jc w:val="center"/>
            </w:pPr>
            <w:r>
              <w:rPr>
                <w:sz w:val="18"/>
              </w:rPr>
              <w:t>5,832</w:t>
            </w:r>
          </w:p>
        </w:tc>
        <w:tc>
          <w:tcPr>
            <w:tcW w:type="dxa" w:w="1584"/>
            <w:shd w:val="clear" w:color="auto" w:fill="FFFFFF"/>
          </w:tcPr>
          <w:p>
            <w:pPr>
              <w:jc w:val="center"/>
            </w:pPr>
            <w:r>
              <w:rPr>
                <w:sz w:val="18"/>
              </w:rPr>
              <w:t>942</w:t>
            </w:r>
          </w:p>
        </w:tc>
        <w:tc>
          <w:tcPr>
            <w:tcW w:type="dxa" w:w="1440"/>
            <w:shd w:val="clear" w:color="auto" w:fill="FFFFFF"/>
          </w:tcPr>
          <w:p>
            <w:pPr>
              <w:jc w:val="center"/>
            </w:pPr>
            <w:r>
              <w:rPr>
                <w:sz w:val="18"/>
              </w:rPr>
              <w:t>16.2%</w:t>
            </w:r>
          </w:p>
        </w:tc>
        <w:tc>
          <w:tcPr>
            <w:tcW w:type="dxa" w:w="1440"/>
            <w:shd w:val="clear" w:color="auto" w:fill="FFFFFF"/>
          </w:tcPr>
          <w:p>
            <w:pPr>
              <w:jc w:val="center"/>
            </w:pPr>
            <w:r>
              <w:rPr>
                <w:sz w:val="18"/>
              </w:rPr>
              <w:t>1,999</w:t>
            </w:r>
          </w:p>
        </w:tc>
      </w:tr>
      <w:tr>
        <w:tc>
          <w:tcPr>
            <w:tcW w:type="dxa" w:w="2304"/>
            <w:shd w:val="clear" w:color="auto" w:fill="F2F2F2"/>
          </w:tcPr>
          <w:p>
            <w:pPr>
              <w:jc w:val="center"/>
            </w:pPr>
            <w:r>
              <w:rPr>
                <w:sz w:val="18"/>
              </w:rPr>
              <w:t>SR-ATAD5</w:t>
            </w:r>
          </w:p>
        </w:tc>
        <w:tc>
          <w:tcPr>
            <w:tcW w:type="dxa" w:w="1584"/>
            <w:shd w:val="clear" w:color="auto" w:fill="F2F2F2"/>
          </w:tcPr>
          <w:p>
            <w:pPr>
              <w:jc w:val="center"/>
            </w:pPr>
            <w:r>
              <w:rPr>
                <w:sz w:val="18"/>
              </w:rPr>
              <w:t>7,072</w:t>
            </w:r>
          </w:p>
        </w:tc>
        <w:tc>
          <w:tcPr>
            <w:tcW w:type="dxa" w:w="1584"/>
            <w:shd w:val="clear" w:color="auto" w:fill="F2F2F2"/>
          </w:tcPr>
          <w:p>
            <w:pPr>
              <w:jc w:val="center"/>
            </w:pPr>
            <w:r>
              <w:rPr>
                <w:sz w:val="18"/>
              </w:rPr>
              <w:t>264</w:t>
            </w:r>
          </w:p>
        </w:tc>
        <w:tc>
          <w:tcPr>
            <w:tcW w:type="dxa" w:w="1440"/>
            <w:shd w:val="clear" w:color="auto" w:fill="F2F2F2"/>
          </w:tcPr>
          <w:p>
            <w:pPr>
              <w:jc w:val="center"/>
            </w:pPr>
            <w:r>
              <w:rPr>
                <w:sz w:val="18"/>
              </w:rPr>
              <w:t>3.7%</w:t>
            </w:r>
          </w:p>
        </w:tc>
        <w:tc>
          <w:tcPr>
            <w:tcW w:type="dxa" w:w="1440"/>
            <w:shd w:val="clear" w:color="auto" w:fill="F2F2F2"/>
          </w:tcPr>
          <w:p>
            <w:pPr>
              <w:jc w:val="center"/>
            </w:pPr>
            <w:r>
              <w:rPr>
                <w:sz w:val="18"/>
              </w:rPr>
              <w:t>759</w:t>
            </w:r>
          </w:p>
        </w:tc>
      </w:tr>
      <w:tr>
        <w:tc>
          <w:tcPr>
            <w:tcW w:type="dxa" w:w="2304"/>
            <w:shd w:val="clear" w:color="auto" w:fill="FFFFFF"/>
          </w:tcPr>
          <w:p>
            <w:pPr>
              <w:jc w:val="center"/>
            </w:pPr>
            <w:r>
              <w:rPr>
                <w:sz w:val="18"/>
              </w:rPr>
              <w:t>SR-HSE</w:t>
            </w:r>
          </w:p>
        </w:tc>
        <w:tc>
          <w:tcPr>
            <w:tcW w:type="dxa" w:w="1584"/>
            <w:shd w:val="clear" w:color="auto" w:fill="FFFFFF"/>
          </w:tcPr>
          <w:p>
            <w:pPr>
              <w:jc w:val="center"/>
            </w:pPr>
            <w:r>
              <w:rPr>
                <w:sz w:val="18"/>
              </w:rPr>
              <w:t>6,467</w:t>
            </w:r>
          </w:p>
        </w:tc>
        <w:tc>
          <w:tcPr>
            <w:tcW w:type="dxa" w:w="1584"/>
            <w:shd w:val="clear" w:color="auto" w:fill="FFFFFF"/>
          </w:tcPr>
          <w:p>
            <w:pPr>
              <w:jc w:val="center"/>
            </w:pPr>
            <w:r>
              <w:rPr>
                <w:sz w:val="18"/>
              </w:rPr>
              <w:t>372</w:t>
            </w:r>
          </w:p>
        </w:tc>
        <w:tc>
          <w:tcPr>
            <w:tcW w:type="dxa" w:w="1440"/>
            <w:shd w:val="clear" w:color="auto" w:fill="FFFFFF"/>
          </w:tcPr>
          <w:p>
            <w:pPr>
              <w:jc w:val="center"/>
            </w:pPr>
            <w:r>
              <w:rPr>
                <w:sz w:val="18"/>
              </w:rPr>
              <w:t>5.8%</w:t>
            </w:r>
          </w:p>
        </w:tc>
        <w:tc>
          <w:tcPr>
            <w:tcW w:type="dxa" w:w="1440"/>
            <w:shd w:val="clear" w:color="auto" w:fill="FFFFFF"/>
          </w:tcPr>
          <w:p>
            <w:pPr>
              <w:jc w:val="center"/>
            </w:pPr>
            <w:r>
              <w:rPr>
                <w:sz w:val="18"/>
              </w:rPr>
              <w:t>1,364</w:t>
            </w:r>
          </w:p>
        </w:tc>
      </w:tr>
      <w:tr>
        <w:tc>
          <w:tcPr>
            <w:tcW w:type="dxa" w:w="2304"/>
            <w:shd w:val="clear" w:color="auto" w:fill="F2F2F2"/>
          </w:tcPr>
          <w:p>
            <w:pPr>
              <w:jc w:val="center"/>
            </w:pPr>
            <w:r>
              <w:rPr>
                <w:sz w:val="18"/>
              </w:rPr>
              <w:t>SR-MMP</w:t>
            </w:r>
          </w:p>
        </w:tc>
        <w:tc>
          <w:tcPr>
            <w:tcW w:type="dxa" w:w="1584"/>
            <w:shd w:val="clear" w:color="auto" w:fill="F2F2F2"/>
          </w:tcPr>
          <w:p>
            <w:pPr>
              <w:jc w:val="center"/>
            </w:pPr>
            <w:r>
              <w:rPr>
                <w:sz w:val="18"/>
              </w:rPr>
              <w:t>5,810</w:t>
            </w:r>
          </w:p>
        </w:tc>
        <w:tc>
          <w:tcPr>
            <w:tcW w:type="dxa" w:w="1584"/>
            <w:shd w:val="clear" w:color="auto" w:fill="F2F2F2"/>
          </w:tcPr>
          <w:p>
            <w:pPr>
              <w:jc w:val="center"/>
            </w:pPr>
            <w:r>
              <w:rPr>
                <w:sz w:val="18"/>
              </w:rPr>
              <w:t>918</w:t>
            </w:r>
          </w:p>
        </w:tc>
        <w:tc>
          <w:tcPr>
            <w:tcW w:type="dxa" w:w="1440"/>
            <w:shd w:val="clear" w:color="auto" w:fill="F2F2F2"/>
          </w:tcPr>
          <w:p>
            <w:pPr>
              <w:jc w:val="center"/>
            </w:pPr>
            <w:r>
              <w:rPr>
                <w:sz w:val="18"/>
              </w:rPr>
              <w:t>15.8%</w:t>
            </w:r>
          </w:p>
        </w:tc>
        <w:tc>
          <w:tcPr>
            <w:tcW w:type="dxa" w:w="1440"/>
            <w:shd w:val="clear" w:color="auto" w:fill="F2F2F2"/>
          </w:tcPr>
          <w:p>
            <w:pPr>
              <w:jc w:val="center"/>
            </w:pPr>
            <w:r>
              <w:rPr>
                <w:sz w:val="18"/>
              </w:rPr>
              <w:t>2,021</w:t>
            </w:r>
          </w:p>
        </w:tc>
      </w:tr>
      <w:tr>
        <w:tc>
          <w:tcPr>
            <w:tcW w:type="dxa" w:w="2304"/>
            <w:shd w:val="clear" w:color="auto" w:fill="FFFFFF"/>
          </w:tcPr>
          <w:p>
            <w:pPr>
              <w:jc w:val="center"/>
            </w:pPr>
            <w:r>
              <w:rPr>
                <w:sz w:val="18"/>
              </w:rPr>
              <w:t>SR-p53</w:t>
            </w:r>
          </w:p>
        </w:tc>
        <w:tc>
          <w:tcPr>
            <w:tcW w:type="dxa" w:w="1584"/>
            <w:shd w:val="clear" w:color="auto" w:fill="FFFFFF"/>
          </w:tcPr>
          <w:p>
            <w:pPr>
              <w:jc w:val="center"/>
            </w:pPr>
            <w:r>
              <w:rPr>
                <w:sz w:val="18"/>
              </w:rPr>
              <w:t>6,774</w:t>
            </w:r>
          </w:p>
        </w:tc>
        <w:tc>
          <w:tcPr>
            <w:tcW w:type="dxa" w:w="1584"/>
            <w:shd w:val="clear" w:color="auto" w:fill="FFFFFF"/>
          </w:tcPr>
          <w:p>
            <w:pPr>
              <w:jc w:val="center"/>
            </w:pPr>
            <w:r>
              <w:rPr>
                <w:sz w:val="18"/>
              </w:rPr>
              <w:t>423</w:t>
            </w:r>
          </w:p>
        </w:tc>
        <w:tc>
          <w:tcPr>
            <w:tcW w:type="dxa" w:w="1440"/>
            <w:shd w:val="clear" w:color="auto" w:fill="FFFFFF"/>
          </w:tcPr>
          <w:p>
            <w:pPr>
              <w:jc w:val="center"/>
            </w:pPr>
            <w:r>
              <w:rPr>
                <w:sz w:val="18"/>
              </w:rPr>
              <w:t>6.2%</w:t>
            </w:r>
          </w:p>
        </w:tc>
        <w:tc>
          <w:tcPr>
            <w:tcW w:type="dxa" w:w="1440"/>
            <w:shd w:val="clear" w:color="auto" w:fill="FFFFFF"/>
          </w:tcPr>
          <w:p>
            <w:pPr>
              <w:jc w:val="center"/>
            </w:pPr>
            <w:r>
              <w:rPr>
                <w:sz w:val="18"/>
              </w:rPr>
              <w:t>1,057</w:t>
            </w:r>
          </w:p>
        </w:tc>
      </w:tr>
    </w:tbl>
    <w:p/>
    <w:p>
      <w:pPr>
        <w:spacing w:after="80"/>
      </w:pPr>
      <w:r>
        <w:rPr>
          <w:b/>
          <w:sz w:val="21"/>
        </w:rPr>
        <w:t>Key observation:</w:t>
      </w:r>
      <w:r>
        <w:rPr>
          <w:sz w:val="21"/>
        </w:rPr>
        <w:t xml:space="preserve"> All endpoints are highly class-imbalanced (2.9%–16.2% positive rate). Accuracy is therefore a misleading metric — a model that always predicts 'non-toxic' would be ~95% accurate but entirely useless. AUROC and AUPRC are used instead.</w:t>
      </w:r>
    </w:p>
    <w:p>
      <w:pPr>
        <w:spacing w:before="360" w:after="120"/>
        <w:pBdr>
          <w:bottom w:val="single" w:sz="6" w:space="1" w:color="2E74B5"/>
        </w:pBdr>
      </w:pPr>
      <w:r>
        <w:rPr>
          <w:b/>
          <w:color w:val="1F497D"/>
          <w:sz w:val="36"/>
        </w:rPr>
        <w:t>4. Data Preprocessing Steps</w:t>
      </w:r>
    </w:p>
    <w:p>
      <w:pPr>
        <w:spacing w:before="240" w:after="80"/>
      </w:pPr>
      <w:r>
        <w:rPr>
          <w:b/>
          <w:color w:val="2E74B5"/>
          <w:sz w:val="26"/>
        </w:rPr>
        <w:t>Step 1 — Download &amp; Load</w:t>
      </w:r>
    </w:p>
    <w:p>
      <w:pPr>
        <w:spacing w:after="80"/>
      </w:pPr>
      <w:r>
        <w:rPr>
          <w:sz w:val="21"/>
        </w:rPr>
        <w:t>The dataset is downloaded as a gzip-compressed CSV and cached locally at data/tox21.csv.gz (~121 KB compressed, ~525 KB uncompressed).</w:t>
      </w:r>
    </w:p>
    <w:p>
      <w:pPr>
        <w:spacing w:before="80" w:after="80"/>
        <w:ind w:left="432"/>
        <w:shd w:val="clear" w:color="auto" w:fill="F5F5F5"/>
      </w:pPr>
      <w:r>
        <w:rPr>
          <w:rFonts w:ascii="Courier New" w:hAnsi="Courier New"/>
          <w:color w:val="1F1F1F"/>
          <w:sz w:val="18"/>
        </w:rPr>
        <w:t>df = pd.read_csv("data/tox21.csv.gz", compression="gzip")</w:t>
        <w:br/>
        <w:t># Shape: (7831, 14) — 12 label columns + smiles + mol_id</w:t>
      </w:r>
    </w:p>
    <w:p>
      <w:pPr>
        <w:spacing w:before="240" w:after="80"/>
      </w:pPr>
      <w:r>
        <w:rPr>
          <w:b/>
          <w:color w:val="2E74B5"/>
          <w:sz w:val="26"/>
        </w:rPr>
        <w:t>Step 2 — SMILES Validation</w:t>
      </w:r>
    </w:p>
    <w:p>
      <w:pPr>
        <w:spacing w:after="80"/>
      </w:pPr>
      <w:r>
        <w:rPr>
          <w:sz w:val="21"/>
        </w:rPr>
        <w:t>All SMILES strings are parsed by RDKit. The 8 aluminum-containing SMILES that RDKit cannot process are dropped, leaving 7,823 valid compounds.</w:t>
      </w:r>
    </w:p>
    <w:p>
      <w:pPr>
        <w:spacing w:before="80" w:after="80"/>
        <w:ind w:left="432"/>
        <w:shd w:val="clear" w:color="auto" w:fill="F5F5F5"/>
      </w:pPr>
      <w:r>
        <w:rPr>
          <w:rFonts w:ascii="Courier New" w:hAnsi="Courier New"/>
          <w:color w:val="1F1F1F"/>
          <w:sz w:val="18"/>
        </w:rPr>
        <w:t>mol = Chem.MolFromSmiles(smiles)</w:t>
        <w:br/>
        <w:t>if mol is None:</w:t>
        <w:br/>
        <w:t xml:space="preserve">    continue  # skip invalid</w:t>
      </w:r>
    </w:p>
    <w:p>
      <w:pPr>
        <w:spacing w:before="240" w:after="80"/>
      </w:pPr>
      <w:r>
        <w:rPr>
          <w:b/>
          <w:color w:val="2E74B5"/>
          <w:sz w:val="26"/>
        </w:rPr>
        <w:t>Step 3 — Morgan Fingerprint Generation</w:t>
      </w:r>
    </w:p>
    <w:p>
      <w:pPr>
        <w:spacing w:after="80"/>
      </w:pPr>
      <w:r>
        <w:rPr>
          <w:sz w:val="21"/>
        </w:rPr>
        <w:t>Each valid SMILES is converted to a Morgan fingerprint (ECFP4-equivalent) — a 2048-bit binary vector encoding circular molecular substructures up to radius 2 (4-bond neighbourhood).</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F497D"/>
          </w:tcPr>
          <w:p>
            <w:pPr>
              <w:jc w:val="center"/>
            </w:pPr>
            <w:r>
              <w:rPr>
                <w:b/>
                <w:color w:val="FFFFFF"/>
                <w:sz w:val="19"/>
              </w:rPr>
              <w:t>Parameter</w:t>
            </w:r>
          </w:p>
        </w:tc>
        <w:tc>
          <w:tcPr>
            <w:tcW w:type="dxa" w:w="1440"/>
            <w:shd w:val="clear" w:color="auto" w:fill="1F497D"/>
          </w:tcPr>
          <w:p>
            <w:pPr>
              <w:jc w:val="center"/>
            </w:pPr>
            <w:r>
              <w:rPr>
                <w:b/>
                <w:color w:val="FFFFFF"/>
                <w:sz w:val="19"/>
              </w:rPr>
              <w:t>Value</w:t>
            </w:r>
          </w:p>
        </w:tc>
        <w:tc>
          <w:tcPr>
            <w:tcW w:type="dxa" w:w="5760"/>
            <w:shd w:val="clear" w:color="auto" w:fill="1F497D"/>
          </w:tcPr>
          <w:p>
            <w:pPr>
              <w:jc w:val="center"/>
            </w:pPr>
            <w:r>
              <w:rPr>
                <w:b/>
                <w:color w:val="FFFFFF"/>
                <w:sz w:val="19"/>
              </w:rPr>
              <w:t>Rationale</w:t>
            </w:r>
          </w:p>
        </w:tc>
      </w:tr>
      <w:tr>
        <w:tc>
          <w:tcPr>
            <w:tcW w:type="dxa" w:w="2160"/>
            <w:shd w:val="clear" w:color="auto" w:fill="F2F2F2"/>
          </w:tcPr>
          <w:p>
            <w:pPr>
              <w:jc w:val="center"/>
            </w:pPr>
            <w:r>
              <w:rPr>
                <w:sz w:val="18"/>
              </w:rPr>
              <w:t>Radius</w:t>
            </w:r>
          </w:p>
        </w:tc>
        <w:tc>
          <w:tcPr>
            <w:tcW w:type="dxa" w:w="1440"/>
            <w:shd w:val="clear" w:color="auto" w:fill="F2F2F2"/>
          </w:tcPr>
          <w:p>
            <w:pPr>
              <w:jc w:val="center"/>
            </w:pPr>
            <w:r>
              <w:rPr>
                <w:sz w:val="18"/>
              </w:rPr>
              <w:t>2</w:t>
            </w:r>
          </w:p>
        </w:tc>
        <w:tc>
          <w:tcPr>
            <w:tcW w:type="dxa" w:w="5760"/>
            <w:shd w:val="clear" w:color="auto" w:fill="F2F2F2"/>
          </w:tcPr>
          <w:p>
            <w:pPr>
              <w:jc w:val="center"/>
            </w:pPr>
            <w:r>
              <w:rPr>
                <w:sz w:val="18"/>
              </w:rPr>
              <w:t>ECFP4 standard; captures up to 4-bond neighbourhoods</w:t>
            </w:r>
          </w:p>
        </w:tc>
      </w:tr>
      <w:tr>
        <w:tc>
          <w:tcPr>
            <w:tcW w:type="dxa" w:w="2160"/>
            <w:shd w:val="clear" w:color="auto" w:fill="FFFFFF"/>
          </w:tcPr>
          <w:p>
            <w:pPr>
              <w:jc w:val="center"/>
            </w:pPr>
            <w:r>
              <w:rPr>
                <w:sz w:val="18"/>
              </w:rPr>
              <w:t>Number of bits</w:t>
            </w:r>
          </w:p>
        </w:tc>
        <w:tc>
          <w:tcPr>
            <w:tcW w:type="dxa" w:w="1440"/>
            <w:shd w:val="clear" w:color="auto" w:fill="FFFFFF"/>
          </w:tcPr>
          <w:p>
            <w:pPr>
              <w:jc w:val="center"/>
            </w:pPr>
            <w:r>
              <w:rPr>
                <w:sz w:val="18"/>
              </w:rPr>
              <w:t>2048</w:t>
            </w:r>
          </w:p>
        </w:tc>
        <w:tc>
          <w:tcPr>
            <w:tcW w:type="dxa" w:w="5760"/>
            <w:shd w:val="clear" w:color="auto" w:fill="FFFFFF"/>
          </w:tcPr>
          <w:p>
            <w:pPr>
              <w:jc w:val="center"/>
            </w:pPr>
            <w:r>
              <w:rPr>
                <w:sz w:val="18"/>
              </w:rPr>
              <w:t>Dense enough for structural diversity; efficient for RF</w:t>
            </w:r>
          </w:p>
        </w:tc>
      </w:tr>
      <w:tr>
        <w:tc>
          <w:tcPr>
            <w:tcW w:type="dxa" w:w="2160"/>
            <w:shd w:val="clear" w:color="auto" w:fill="F2F2F2"/>
          </w:tcPr>
          <w:p>
            <w:pPr>
              <w:jc w:val="center"/>
            </w:pPr>
            <w:r>
              <w:rPr>
                <w:sz w:val="18"/>
              </w:rPr>
              <w:t>Output type</w:t>
            </w:r>
          </w:p>
        </w:tc>
        <w:tc>
          <w:tcPr>
            <w:tcW w:type="dxa" w:w="1440"/>
            <w:shd w:val="clear" w:color="auto" w:fill="F2F2F2"/>
          </w:tcPr>
          <w:p>
            <w:pPr>
              <w:jc w:val="center"/>
            </w:pPr>
            <w:r>
              <w:rPr>
                <w:sz w:val="18"/>
              </w:rPr>
              <w:t>uint8[]</w:t>
            </w:r>
          </w:p>
        </w:tc>
        <w:tc>
          <w:tcPr>
            <w:tcW w:type="dxa" w:w="5760"/>
            <w:shd w:val="clear" w:color="auto" w:fill="F2F2F2"/>
          </w:tcPr>
          <w:p>
            <w:pPr>
              <w:jc w:val="center"/>
            </w:pPr>
            <w:r>
              <w:rPr>
                <w:sz w:val="18"/>
              </w:rPr>
              <w:t>Compact binary vector; 1 = substructure present</w:t>
            </w:r>
          </w:p>
        </w:tc>
      </w:tr>
    </w:tbl>
    <w:p/>
    <w:p>
      <w:pPr>
        <w:spacing w:before="80" w:after="80"/>
        <w:ind w:left="432"/>
        <w:shd w:val="clear" w:color="auto" w:fill="F5F5F5"/>
      </w:pPr>
      <w:r>
        <w:rPr>
          <w:rFonts w:ascii="Courier New" w:hAnsi="Courier New"/>
          <w:color w:val="1F1F1F"/>
          <w:sz w:val="18"/>
        </w:rPr>
        <w:t>from rdkit.Chem import AllChem</w:t>
        <w:br/>
        <w:br/>
        <w:t>def smiles_to_morgan(smiles, radius=2, n_bits=2048):</w:t>
        <w:br/>
        <w:t xml:space="preserve">    mol = Chem.MolFromSmiles(smiles)</w:t>
        <w:br/>
        <w:t xml:space="preserve">    fp  = AllChem.GetMorganFingerprintAsBitVect(mol, radius, nBits=n_bits)</w:t>
        <w:br/>
        <w:t xml:space="preserve">    return np.array(fp, dtype=np.uint8)  # shape: (2048,)</w:t>
      </w:r>
    </w:p>
    <w:p>
      <w:pPr>
        <w:spacing w:after="80"/>
      </w:pPr>
      <w:r>
        <w:rPr>
          <w:sz w:val="21"/>
        </w:rPr>
        <w:t>The result is a 7,823 × 2048 feature matrix X.</w:t>
      </w:r>
    </w:p>
    <w:p>
      <w:pPr>
        <w:spacing w:before="240" w:after="80"/>
      </w:pPr>
      <w:r>
        <w:rPr>
          <w:b/>
          <w:color w:val="2E74B5"/>
          <w:sz w:val="26"/>
        </w:rPr>
        <w:t>Step 4 — Label Matrix Construction</w:t>
      </w:r>
    </w:p>
    <w:p>
      <w:pPr>
        <w:spacing w:after="80"/>
      </w:pPr>
      <w:r>
        <w:rPr>
          <w:sz w:val="21"/>
        </w:rPr>
        <w:t>The 12 endpoint columns are extracted into a label matrix Y of shape (7,823 × 12), with NaN values preserved — missing labels are never imputed.</w:t>
      </w:r>
    </w:p>
    <w:p>
      <w:pPr>
        <w:spacing w:before="80" w:after="80"/>
        <w:ind w:left="432"/>
        <w:shd w:val="clear" w:color="auto" w:fill="F5F5F5"/>
      </w:pPr>
      <w:r>
        <w:rPr>
          <w:rFonts w:ascii="Courier New" w:hAnsi="Courier New"/>
          <w:color w:val="1F1F1F"/>
          <w:sz w:val="18"/>
        </w:rPr>
        <w:t>task_names = ["NR-AR", "NR-AR-LBD", ..., "SR-p53"]</w:t>
        <w:br/>
        <w:t>Y = df[task_names].values.astype(float)  # NaN preserved</w:t>
      </w:r>
    </w:p>
    <w:p>
      <w:pPr>
        <w:spacing w:before="240" w:after="80"/>
      </w:pPr>
      <w:r>
        <w:rPr>
          <w:b/>
          <w:color w:val="2E74B5"/>
          <w:sz w:val="26"/>
        </w:rPr>
        <w:t>Step 5 — Train / Validation / Test Split</w:t>
      </w:r>
    </w:p>
    <w:p>
      <w:pPr>
        <w:spacing w:after="80"/>
      </w:pPr>
      <w:r>
        <w:rPr>
          <w:sz w:val="21"/>
        </w:rPr>
        <w:t>An 80/10/10 stratified split is applied. Stratification is performed on the endpoint with the highest proportion of known labels, ensuring each split has a representative class ratio.</w:t>
      </w:r>
    </w:p>
    <w:p>
      <w:pPr>
        <w:spacing w:before="80" w:after="80"/>
        <w:ind w:left="432"/>
        <w:shd w:val="clear" w:color="auto" w:fill="F5F5F5"/>
      </w:pPr>
      <w:r>
        <w:rPr>
          <w:rFonts w:ascii="Courier New" w:hAnsi="Courier New"/>
          <w:color w:val="1F1F1F"/>
          <w:sz w:val="18"/>
        </w:rPr>
        <w:t>X_train, X_temp, Y_train, Y_temp = train_test_split(</w:t>
        <w:br/>
        <w:t xml:space="preserve">    X, Y, test_size=0.2, random_state=42, stratify=stratify_col</w:t>
        <w:br/>
        <w:t>)</w:t>
        <w:br/>
        <w:t>X_val, X_test, Y_val, Y_test = train_test_split(</w:t>
        <w:br/>
        <w:t xml:space="preserve">    X_temp, Y_temp, test_size=0.5, random_state=42</w:t>
        <w:br/>
        <w:t>)</w:t>
      </w:r>
    </w:p>
    <w:p>
      <w:pPr>
        <w:spacing w:before="240" w:after="80"/>
      </w:pPr>
      <w:r>
        <w:rPr>
          <w:b/>
          <w:color w:val="2E74B5"/>
          <w:sz w:val="26"/>
        </w:rPr>
        <w:t>Design Decision Summary</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1F497D"/>
          </w:tcPr>
          <w:p>
            <w:pPr>
              <w:jc w:val="center"/>
            </w:pPr>
            <w:r>
              <w:rPr>
                <w:b/>
                <w:color w:val="FFFFFF"/>
                <w:sz w:val="19"/>
              </w:rPr>
              <w:t>Decision</w:t>
            </w:r>
          </w:p>
        </w:tc>
        <w:tc>
          <w:tcPr>
            <w:tcW w:type="dxa" w:w="2880"/>
            <w:shd w:val="clear" w:color="auto" w:fill="1F497D"/>
          </w:tcPr>
          <w:p>
            <w:pPr>
              <w:jc w:val="center"/>
            </w:pPr>
            <w:r>
              <w:rPr>
                <w:b/>
                <w:color w:val="FFFFFF"/>
                <w:sz w:val="19"/>
              </w:rPr>
              <w:t>Choice</w:t>
            </w:r>
          </w:p>
        </w:tc>
        <w:tc>
          <w:tcPr>
            <w:tcW w:type="dxa" w:w="4032"/>
            <w:shd w:val="clear" w:color="auto" w:fill="1F497D"/>
          </w:tcPr>
          <w:p>
            <w:pPr>
              <w:jc w:val="center"/>
            </w:pPr>
            <w:r>
              <w:rPr>
                <w:b/>
                <w:color w:val="FFFFFF"/>
                <w:sz w:val="19"/>
              </w:rPr>
              <w:t>Rationale</w:t>
            </w:r>
          </w:p>
        </w:tc>
      </w:tr>
      <w:tr>
        <w:tc>
          <w:tcPr>
            <w:tcW w:type="dxa" w:w="2448"/>
            <w:shd w:val="clear" w:color="auto" w:fill="F2F2F2"/>
          </w:tcPr>
          <w:p>
            <w:pPr>
              <w:jc w:val="center"/>
            </w:pPr>
            <w:r>
              <w:rPr>
                <w:sz w:val="18"/>
              </w:rPr>
              <w:t>Featurization</w:t>
            </w:r>
          </w:p>
        </w:tc>
        <w:tc>
          <w:tcPr>
            <w:tcW w:type="dxa" w:w="2880"/>
            <w:shd w:val="clear" w:color="auto" w:fill="F2F2F2"/>
          </w:tcPr>
          <w:p>
            <w:pPr>
              <w:jc w:val="center"/>
            </w:pPr>
            <w:r>
              <w:rPr>
                <w:sz w:val="18"/>
              </w:rPr>
              <w:t>Morgan FP (r=2, 2048 bits)</w:t>
            </w:r>
          </w:p>
        </w:tc>
        <w:tc>
          <w:tcPr>
            <w:tcW w:type="dxa" w:w="4032"/>
            <w:shd w:val="clear" w:color="auto" w:fill="F2F2F2"/>
          </w:tcPr>
          <w:p>
            <w:pPr>
              <w:jc w:val="center"/>
            </w:pPr>
            <w:r>
              <w:rPr>
                <w:sz w:val="18"/>
              </w:rPr>
              <w:t>ECFP4 equivalent; validated standard for RF on molecules</w:t>
            </w:r>
          </w:p>
        </w:tc>
      </w:tr>
      <w:tr>
        <w:tc>
          <w:tcPr>
            <w:tcW w:type="dxa" w:w="2448"/>
            <w:shd w:val="clear" w:color="auto" w:fill="FFFFFF"/>
          </w:tcPr>
          <w:p>
            <w:pPr>
              <w:jc w:val="center"/>
            </w:pPr>
            <w:r>
              <w:rPr>
                <w:sz w:val="18"/>
              </w:rPr>
              <w:t>Invalid SMILES</w:t>
            </w:r>
          </w:p>
        </w:tc>
        <w:tc>
          <w:tcPr>
            <w:tcW w:type="dxa" w:w="2880"/>
            <w:shd w:val="clear" w:color="auto" w:fill="FFFFFF"/>
          </w:tcPr>
          <w:p>
            <w:pPr>
              <w:jc w:val="center"/>
            </w:pPr>
            <w:r>
              <w:rPr>
                <w:sz w:val="18"/>
              </w:rPr>
              <w:t>Drop (not impute)</w:t>
            </w:r>
          </w:p>
        </w:tc>
        <w:tc>
          <w:tcPr>
            <w:tcW w:type="dxa" w:w="4032"/>
            <w:shd w:val="clear" w:color="auto" w:fill="FFFFFF"/>
          </w:tcPr>
          <w:p>
            <w:pPr>
              <w:jc w:val="center"/>
            </w:pPr>
            <w:r>
              <w:rPr>
                <w:sz w:val="18"/>
              </w:rPr>
              <w:t>8 compounds; structure-based imputation is meaningless</w:t>
            </w:r>
          </w:p>
        </w:tc>
      </w:tr>
      <w:tr>
        <w:tc>
          <w:tcPr>
            <w:tcW w:type="dxa" w:w="2448"/>
            <w:shd w:val="clear" w:color="auto" w:fill="F2F2F2"/>
          </w:tcPr>
          <w:p>
            <w:pPr>
              <w:jc w:val="center"/>
            </w:pPr>
            <w:r>
              <w:rPr>
                <w:sz w:val="18"/>
              </w:rPr>
              <w:t>Missing labels</w:t>
            </w:r>
          </w:p>
        </w:tc>
        <w:tc>
          <w:tcPr>
            <w:tcW w:type="dxa" w:w="2880"/>
            <w:shd w:val="clear" w:color="auto" w:fill="F2F2F2"/>
          </w:tcPr>
          <w:p>
            <w:pPr>
              <w:jc w:val="center"/>
            </w:pPr>
            <w:r>
              <w:rPr>
                <w:sz w:val="18"/>
              </w:rPr>
              <w:t>Mask (exclude per task)</w:t>
            </w:r>
          </w:p>
        </w:tc>
        <w:tc>
          <w:tcPr>
            <w:tcW w:type="dxa" w:w="4032"/>
            <w:shd w:val="clear" w:color="auto" w:fill="F2F2F2"/>
          </w:tcPr>
          <w:p>
            <w:pPr>
              <w:jc w:val="center"/>
            </w:pPr>
            <w:r>
              <w:rPr>
                <w:sz w:val="18"/>
              </w:rPr>
              <w:t>Safer than imputation; no risk of label leakage</w:t>
            </w:r>
          </w:p>
        </w:tc>
      </w:tr>
      <w:tr>
        <w:tc>
          <w:tcPr>
            <w:tcW w:type="dxa" w:w="2448"/>
            <w:shd w:val="clear" w:color="auto" w:fill="FFFFFF"/>
          </w:tcPr>
          <w:p>
            <w:pPr>
              <w:jc w:val="center"/>
            </w:pPr>
            <w:r>
              <w:rPr>
                <w:sz w:val="18"/>
              </w:rPr>
              <w:t>Split strategy</w:t>
            </w:r>
          </w:p>
        </w:tc>
        <w:tc>
          <w:tcPr>
            <w:tcW w:type="dxa" w:w="2880"/>
            <w:shd w:val="clear" w:color="auto" w:fill="FFFFFF"/>
          </w:tcPr>
          <w:p>
            <w:pPr>
              <w:jc w:val="center"/>
            </w:pPr>
            <w:r>
              <w:rPr>
                <w:sz w:val="18"/>
              </w:rPr>
              <w:t>Stratified random 80/10/10</w:t>
            </w:r>
          </w:p>
        </w:tc>
        <w:tc>
          <w:tcPr>
            <w:tcW w:type="dxa" w:w="4032"/>
            <w:shd w:val="clear" w:color="auto" w:fill="FFFFFF"/>
          </w:tcPr>
          <w:p>
            <w:pPr>
              <w:jc w:val="center"/>
            </w:pPr>
            <w:r>
              <w:rPr>
                <w:sz w:val="18"/>
              </w:rPr>
              <w:t>Preserves class ratio across all splits</w:t>
            </w:r>
          </w:p>
        </w:tc>
      </w:tr>
    </w:tbl>
    <w:p/>
    <w:p>
      <w:pPr>
        <w:spacing w:before="360" w:after="120"/>
        <w:pBdr>
          <w:bottom w:val="single" w:sz="6" w:space="1" w:color="2E74B5"/>
        </w:pBdr>
      </w:pPr>
      <w:r>
        <w:rPr>
          <w:b/>
          <w:color w:val="1F497D"/>
          <w:sz w:val="36"/>
        </w:rPr>
        <w:t>5. Machine Learning Model &amp; Approach</w:t>
      </w:r>
    </w:p>
    <w:p>
      <w:pPr>
        <w:spacing w:before="240" w:after="80"/>
      </w:pPr>
      <w:r>
        <w:rPr>
          <w:b/>
          <w:color w:val="2E74B5"/>
          <w:sz w:val="26"/>
        </w:rPr>
        <w:t>Architecture — Multi-Task Random Forest</w:t>
      </w:r>
    </w:p>
    <w:p>
      <w:pPr>
        <w:spacing w:after="80"/>
      </w:pPr>
      <w:r>
        <w:rPr>
          <w:sz w:val="21"/>
        </w:rPr>
        <w:t>Rather than a single multi-output model, 12 separate Random Forest classifiers are trained — one per toxicity endpoint. This design was chosen because:</w:t>
      </w:r>
    </w:p>
    <w:p>
      <w:pPr>
        <w:pStyle w:val="ListBullet"/>
        <w:spacing w:after="40"/>
        <w:ind w:left="360"/>
      </w:pPr>
      <w:r>
        <w:rPr>
          <w:sz w:val="21"/>
        </w:rPr>
        <w:t>Each endpoint has a different pattern of missing labels — a shared model would need to handle different training subsets per task.</w:t>
      </w:r>
    </w:p>
    <w:p>
      <w:pPr>
        <w:pStyle w:val="ListBullet"/>
        <w:spacing w:after="40"/>
        <w:ind w:left="360"/>
      </w:pPr>
      <w:r>
        <w:rPr>
          <w:sz w:val="21"/>
        </w:rPr>
        <w:t>Independent models are simpler to tune, debug, and replace individually.</w:t>
      </w:r>
    </w:p>
    <w:p>
      <w:pPr>
        <w:pStyle w:val="ListBullet"/>
        <w:spacing w:after="40"/>
        <w:ind w:left="360"/>
      </w:pPr>
      <w:r>
        <w:rPr>
          <w:sz w:val="21"/>
        </w:rPr>
        <w:t>scikit-learn's RandomForestClassifier handles binary classification natively and efficiently.</w:t>
      </w:r>
    </w:p>
    <w:p>
      <w:pPr>
        <w:spacing w:after="80"/>
      </w:pPr>
      <w:r>
        <w:rPr>
          <w:sz w:val="21"/>
        </w:rPr>
        <w:t>The 12 models are wrapped in a custom Tox21RandomForest class (src/model.py) providing a unified .fit(), .predict_proba(), .predict(), .save(), and .load() interface.</w:t>
      </w:r>
    </w:p>
    <w:p>
      <w:pPr>
        <w:spacing w:before="240" w:after="80"/>
      </w:pPr>
      <w:r>
        <w:rPr>
          <w:b/>
          <w:color w:val="2E74B5"/>
          <w:sz w:val="26"/>
        </w:rPr>
        <w:t>Hyperparameters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F497D"/>
          </w:tcPr>
          <w:p>
            <w:pPr>
              <w:jc w:val="center"/>
            </w:pPr>
            <w:r>
              <w:rPr>
                <w:b/>
                <w:color w:val="FFFFFF"/>
                <w:sz w:val="19"/>
              </w:rPr>
              <w:t>Parameter</w:t>
            </w:r>
          </w:p>
        </w:tc>
        <w:tc>
          <w:tcPr>
            <w:tcW w:type="dxa" w:w="1440"/>
            <w:shd w:val="clear" w:color="auto" w:fill="1F497D"/>
          </w:tcPr>
          <w:p>
            <w:pPr>
              <w:jc w:val="center"/>
            </w:pPr>
            <w:r>
              <w:rPr>
                <w:b/>
                <w:color w:val="FFFFFF"/>
                <w:sz w:val="19"/>
              </w:rPr>
              <w:t>Value</w:t>
            </w:r>
          </w:p>
        </w:tc>
        <w:tc>
          <w:tcPr>
            <w:tcW w:type="dxa" w:w="5328"/>
            <w:shd w:val="clear" w:color="auto" w:fill="1F497D"/>
          </w:tcPr>
          <w:p>
            <w:pPr>
              <w:jc w:val="center"/>
            </w:pPr>
            <w:r>
              <w:rPr>
                <w:b/>
                <w:color w:val="FFFFFF"/>
                <w:sz w:val="19"/>
              </w:rPr>
              <w:t>Purpose</w:t>
            </w:r>
          </w:p>
        </w:tc>
      </w:tr>
      <w:tr>
        <w:tc>
          <w:tcPr>
            <w:tcW w:type="dxa" w:w="2592"/>
            <w:shd w:val="clear" w:color="auto" w:fill="F2F2F2"/>
          </w:tcPr>
          <w:p>
            <w:pPr>
              <w:jc w:val="center"/>
            </w:pPr>
            <w:r>
              <w:rPr>
                <w:sz w:val="18"/>
              </w:rPr>
              <w:t>n_estimators</w:t>
            </w:r>
          </w:p>
        </w:tc>
        <w:tc>
          <w:tcPr>
            <w:tcW w:type="dxa" w:w="1440"/>
            <w:shd w:val="clear" w:color="auto" w:fill="F2F2F2"/>
          </w:tcPr>
          <w:p>
            <w:pPr>
              <w:jc w:val="center"/>
            </w:pPr>
            <w:r>
              <w:rPr>
                <w:sz w:val="18"/>
              </w:rPr>
              <w:t>100</w:t>
            </w:r>
          </w:p>
        </w:tc>
        <w:tc>
          <w:tcPr>
            <w:tcW w:type="dxa" w:w="5328"/>
            <w:shd w:val="clear" w:color="auto" w:fill="F2F2F2"/>
          </w:tcPr>
          <w:p>
            <w:pPr>
              <w:jc w:val="center"/>
            </w:pPr>
            <w:r>
              <w:rPr>
                <w:sz w:val="18"/>
              </w:rPr>
              <w:t>Number of trees per forest</w:t>
            </w:r>
          </w:p>
        </w:tc>
      </w:tr>
      <w:tr>
        <w:tc>
          <w:tcPr>
            <w:tcW w:type="dxa" w:w="2592"/>
            <w:shd w:val="clear" w:color="auto" w:fill="FFFFFF"/>
          </w:tcPr>
          <w:p>
            <w:pPr>
              <w:jc w:val="center"/>
            </w:pPr>
            <w:r>
              <w:rPr>
                <w:sz w:val="18"/>
              </w:rPr>
              <w:t>max_depth</w:t>
            </w:r>
          </w:p>
        </w:tc>
        <w:tc>
          <w:tcPr>
            <w:tcW w:type="dxa" w:w="1440"/>
            <w:shd w:val="clear" w:color="auto" w:fill="FFFFFF"/>
          </w:tcPr>
          <w:p>
            <w:pPr>
              <w:jc w:val="center"/>
            </w:pPr>
            <w:r>
              <w:rPr>
                <w:sz w:val="18"/>
              </w:rPr>
              <w:t>20</w:t>
            </w:r>
          </w:p>
        </w:tc>
        <w:tc>
          <w:tcPr>
            <w:tcW w:type="dxa" w:w="5328"/>
            <w:shd w:val="clear" w:color="auto" w:fill="FFFFFF"/>
          </w:tcPr>
          <w:p>
            <w:pPr>
              <w:jc w:val="center"/>
            </w:pPr>
            <w:r>
              <w:rPr>
                <w:sz w:val="18"/>
              </w:rPr>
              <w:t>Limits overfitting on high-dimensional data</w:t>
            </w:r>
          </w:p>
        </w:tc>
      </w:tr>
      <w:tr>
        <w:tc>
          <w:tcPr>
            <w:tcW w:type="dxa" w:w="2592"/>
            <w:shd w:val="clear" w:color="auto" w:fill="F2F2F2"/>
          </w:tcPr>
          <w:p>
            <w:pPr>
              <w:jc w:val="center"/>
            </w:pPr>
            <w:r>
              <w:rPr>
                <w:sz w:val="18"/>
              </w:rPr>
              <w:t>class_weight</w:t>
            </w:r>
          </w:p>
        </w:tc>
        <w:tc>
          <w:tcPr>
            <w:tcW w:type="dxa" w:w="1440"/>
            <w:shd w:val="clear" w:color="auto" w:fill="F2F2F2"/>
          </w:tcPr>
          <w:p>
            <w:pPr>
              <w:jc w:val="center"/>
            </w:pPr>
            <w:r>
              <w:rPr>
                <w:sz w:val="18"/>
              </w:rPr>
              <w:t>'balanced'</w:t>
            </w:r>
          </w:p>
        </w:tc>
        <w:tc>
          <w:tcPr>
            <w:tcW w:type="dxa" w:w="5328"/>
            <w:shd w:val="clear" w:color="auto" w:fill="F2F2F2"/>
          </w:tcPr>
          <w:p>
            <w:pPr>
              <w:jc w:val="center"/>
            </w:pPr>
            <w:r>
              <w:rPr>
                <w:sz w:val="18"/>
              </w:rPr>
              <w:t>Auto-reweights minority class (toxic compounds)</w:t>
            </w:r>
          </w:p>
        </w:tc>
      </w:tr>
      <w:tr>
        <w:tc>
          <w:tcPr>
            <w:tcW w:type="dxa" w:w="2592"/>
            <w:shd w:val="clear" w:color="auto" w:fill="FFFFFF"/>
          </w:tcPr>
          <w:p>
            <w:pPr>
              <w:jc w:val="center"/>
            </w:pPr>
            <w:r>
              <w:rPr>
                <w:sz w:val="18"/>
              </w:rPr>
              <w:t>random_state</w:t>
            </w:r>
          </w:p>
        </w:tc>
        <w:tc>
          <w:tcPr>
            <w:tcW w:type="dxa" w:w="1440"/>
            <w:shd w:val="clear" w:color="auto" w:fill="FFFFFF"/>
          </w:tcPr>
          <w:p>
            <w:pPr>
              <w:jc w:val="center"/>
            </w:pPr>
            <w:r>
              <w:rPr>
                <w:sz w:val="18"/>
              </w:rPr>
              <w:t>42</w:t>
            </w:r>
          </w:p>
        </w:tc>
        <w:tc>
          <w:tcPr>
            <w:tcW w:type="dxa" w:w="5328"/>
            <w:shd w:val="clear" w:color="auto" w:fill="FFFFFF"/>
          </w:tcPr>
          <w:p>
            <w:pPr>
              <w:jc w:val="center"/>
            </w:pPr>
            <w:r>
              <w:rPr>
                <w:sz w:val="18"/>
              </w:rPr>
              <w:t>Reproducibility</w:t>
            </w:r>
          </w:p>
        </w:tc>
      </w:tr>
      <w:tr>
        <w:tc>
          <w:tcPr>
            <w:tcW w:type="dxa" w:w="2592"/>
            <w:shd w:val="clear" w:color="auto" w:fill="F2F2F2"/>
          </w:tcPr>
          <w:p>
            <w:pPr>
              <w:jc w:val="center"/>
            </w:pPr>
            <w:r>
              <w:rPr>
                <w:sz w:val="18"/>
              </w:rPr>
              <w:t>n_jobs</w:t>
            </w:r>
          </w:p>
        </w:tc>
        <w:tc>
          <w:tcPr>
            <w:tcW w:type="dxa" w:w="1440"/>
            <w:shd w:val="clear" w:color="auto" w:fill="F2F2F2"/>
          </w:tcPr>
          <w:p>
            <w:pPr>
              <w:jc w:val="center"/>
            </w:pPr>
            <w:r>
              <w:rPr>
                <w:sz w:val="18"/>
              </w:rPr>
              <w:t>-1</w:t>
            </w:r>
          </w:p>
        </w:tc>
        <w:tc>
          <w:tcPr>
            <w:tcW w:type="dxa" w:w="5328"/>
            <w:shd w:val="clear" w:color="auto" w:fill="F2F2F2"/>
          </w:tcPr>
          <w:p>
            <w:pPr>
              <w:jc w:val="center"/>
            </w:pPr>
            <w:r>
              <w:rPr>
                <w:sz w:val="18"/>
              </w:rPr>
              <w:t>Uses all available CPU cores</w:t>
            </w:r>
          </w:p>
        </w:tc>
      </w:tr>
      <w:tr>
        <w:tc>
          <w:tcPr>
            <w:tcW w:type="dxa" w:w="2592"/>
            <w:shd w:val="clear" w:color="auto" w:fill="FFFFFF"/>
          </w:tcPr>
          <w:p>
            <w:pPr>
              <w:jc w:val="center"/>
            </w:pPr>
            <w:r>
              <w:rPr>
                <w:sz w:val="18"/>
              </w:rPr>
              <w:t>min_samples_leaf</w:t>
            </w:r>
          </w:p>
        </w:tc>
        <w:tc>
          <w:tcPr>
            <w:tcW w:type="dxa" w:w="1440"/>
            <w:shd w:val="clear" w:color="auto" w:fill="FFFFFF"/>
          </w:tcPr>
          <w:p>
            <w:pPr>
              <w:jc w:val="center"/>
            </w:pPr>
            <w:r>
              <w:rPr>
                <w:sz w:val="18"/>
              </w:rPr>
              <w:t>2</w:t>
            </w:r>
          </w:p>
        </w:tc>
        <w:tc>
          <w:tcPr>
            <w:tcW w:type="dxa" w:w="5328"/>
            <w:shd w:val="clear" w:color="auto" w:fill="FFFFFF"/>
          </w:tcPr>
          <w:p>
            <w:pPr>
              <w:jc w:val="center"/>
            </w:pPr>
            <w:r>
              <w:rPr>
                <w:sz w:val="18"/>
              </w:rPr>
              <w:t>Additional regularization</w:t>
            </w:r>
          </w:p>
        </w:tc>
      </w:tr>
    </w:tbl>
    <w:p/>
    <w:p>
      <w:pPr>
        <w:spacing w:before="80" w:after="80"/>
        <w:ind w:left="432"/>
        <w:shd w:val="clear" w:color="auto" w:fill="F5F5F5"/>
      </w:pPr>
      <w:r>
        <w:rPr>
          <w:rFonts w:ascii="Courier New" w:hAnsi="Courier New"/>
          <w:color w:val="1F1F1F"/>
          <w:sz w:val="18"/>
        </w:rPr>
        <w:t>rf_params = {</w:t>
        <w:br/>
        <w:t xml:space="preserve">    'n_estimators':    100,</w:t>
        <w:br/>
        <w:t xml:space="preserve">    'max_depth':       20,</w:t>
        <w:br/>
        <w:t xml:space="preserve">    'class_weight':    'balanced',  # handles 3-16% positive rate</w:t>
        <w:br/>
        <w:t xml:space="preserve">    'random_state':    42,</w:t>
        <w:br/>
        <w:t xml:space="preserve">    'n_jobs':          -1,</w:t>
        <w:br/>
        <w:t xml:space="preserve">    'min_samples_leaf': 2,</w:t>
        <w:br/>
        <w:t>}</w:t>
      </w:r>
    </w:p>
    <w:p>
      <w:pPr>
        <w:spacing w:before="240" w:after="80"/>
      </w:pPr>
      <w:r>
        <w:rPr>
          <w:b/>
          <w:color w:val="2E74B5"/>
          <w:sz w:val="26"/>
        </w:rPr>
        <w:t>Why Random Forest?</w:t>
      </w:r>
    </w:p>
    <w:p>
      <w:pPr>
        <w:pStyle w:val="ListBullet"/>
        <w:spacing w:after="40"/>
        <w:ind w:left="360"/>
      </w:pPr>
      <w:r>
        <w:rPr>
          <w:sz w:val="21"/>
        </w:rPr>
        <w:t>Handles high-dimensional sparse binary features (2,048-bit fingerprints) natively.</w:t>
      </w:r>
    </w:p>
    <w:p>
      <w:pPr>
        <w:pStyle w:val="ListBullet"/>
        <w:spacing w:after="40"/>
        <w:ind w:left="360"/>
      </w:pPr>
      <w:r>
        <w:rPr>
          <w:sz w:val="21"/>
        </w:rPr>
        <w:t>Robust to irrelevant features via random feature subsampling at each split.</w:t>
      </w:r>
    </w:p>
    <w:p>
      <w:pPr>
        <w:pStyle w:val="ListBullet"/>
        <w:spacing w:after="40"/>
        <w:ind w:left="360"/>
      </w:pPr>
      <w:r>
        <w:rPr>
          <w:sz w:val="21"/>
        </w:rPr>
        <w:t>No feature scaling required (unlike SVM or logistic regression).</w:t>
      </w:r>
    </w:p>
    <w:p>
      <w:pPr>
        <w:pStyle w:val="ListBullet"/>
        <w:spacing w:after="40"/>
        <w:ind w:left="360"/>
      </w:pPr>
      <w:r>
        <w:rPr>
          <w:sz w:val="21"/>
        </w:rPr>
        <w:t>Provides feature importances — useful for mapping back to molecular substructures.</w:t>
      </w:r>
    </w:p>
    <w:p>
      <w:pPr>
        <w:pStyle w:val="ListBullet"/>
        <w:spacing w:after="40"/>
        <w:ind w:left="360"/>
      </w:pPr>
      <w:r>
        <w:rPr>
          <w:sz w:val="21"/>
        </w:rPr>
        <w:t>Fast to train and predict at this dataset scale (~7,800 compounds).</w:t>
      </w:r>
    </w:p>
    <w:p>
      <w:pPr>
        <w:spacing w:before="360" w:after="120"/>
        <w:pBdr>
          <w:bottom w:val="single" w:sz="6" w:space="1" w:color="2E74B5"/>
        </w:pBdr>
      </w:pPr>
      <w:r>
        <w:rPr>
          <w:b/>
          <w:color w:val="1F497D"/>
          <w:sz w:val="36"/>
        </w:rPr>
        <w:t>6. Training Process</w:t>
      </w:r>
    </w:p>
    <w:p>
      <w:pPr>
        <w:spacing w:after="80"/>
      </w:pPr>
      <w:r>
        <w:rPr>
          <w:sz w:val="21"/>
        </w:rPr>
        <w:t>The full pipeline is orchestrated by src/train.py and runs in 8 steps:</w:t>
      </w:r>
    </w:p>
    <w:p>
      <w:pPr>
        <w:pStyle w:val="ListBullet"/>
        <w:spacing w:after="40"/>
        <w:ind w:left="360"/>
      </w:pPr>
      <w:r>
        <w:rPr>
          <w:sz w:val="21"/>
        </w:rPr>
        <w:t>Step 1 — Download &amp; cache dataset (tox21.csv.gz)</w:t>
      </w:r>
    </w:p>
    <w:p>
      <w:pPr>
        <w:pStyle w:val="ListBullet"/>
        <w:spacing w:after="40"/>
        <w:ind w:left="360"/>
      </w:pPr>
      <w:r>
        <w:rPr>
          <w:sz w:val="21"/>
        </w:rPr>
        <w:t>Step 2 — Featurize: SMILES → Morgan fingerprints (7,823 × 2048 matrix)</w:t>
      </w:r>
    </w:p>
    <w:p>
      <w:pPr>
        <w:pStyle w:val="ListBullet"/>
        <w:spacing w:after="40"/>
        <w:ind w:left="360"/>
      </w:pPr>
      <w:r>
        <w:rPr>
          <w:sz w:val="21"/>
        </w:rPr>
        <w:t>Step 3 — Split: 80/10/10 stratified train/val/test</w:t>
      </w:r>
    </w:p>
    <w:p>
      <w:pPr>
        <w:pStyle w:val="ListBullet"/>
        <w:spacing w:after="40"/>
        <w:ind w:left="360"/>
      </w:pPr>
      <w:r>
        <w:rPr>
          <w:sz w:val="21"/>
        </w:rPr>
        <w:t>Step 4 — Train: 12 RandomForest classifiers (masked per-task training)</w:t>
      </w:r>
    </w:p>
    <w:p>
      <w:pPr>
        <w:pStyle w:val="ListBullet"/>
        <w:spacing w:after="40"/>
        <w:ind w:left="360"/>
      </w:pPr>
      <w:r>
        <w:rPr>
          <w:sz w:val="21"/>
        </w:rPr>
        <w:t>Step 5 — Evaluate on Validation Set: AUROC, AUPRC, Balanced Accuracy + visualizations</w:t>
      </w:r>
    </w:p>
    <w:p>
      <w:pPr>
        <w:pStyle w:val="ListBullet"/>
        <w:spacing w:after="40"/>
        <w:ind w:left="360"/>
      </w:pPr>
      <w:r>
        <w:rPr>
          <w:sz w:val="21"/>
        </w:rPr>
        <w:t>Step 6 — Evaluate on Test Set: same metrics, separate output files</w:t>
      </w:r>
    </w:p>
    <w:p>
      <w:pPr>
        <w:pStyle w:val="ListBullet"/>
        <w:spacing w:after="40"/>
        <w:ind w:left="360"/>
      </w:pPr>
      <w:r>
        <w:rPr>
          <w:sz w:val="21"/>
        </w:rPr>
        <w:t>Step 7 — Save model to models/tox21_rf_model.joblib (joblib compress=3, 8.8 MB)</w:t>
      </w:r>
    </w:p>
    <w:p>
      <w:pPr>
        <w:pStyle w:val="ListBullet"/>
        <w:spacing w:after="40"/>
        <w:ind w:left="360"/>
      </w:pPr>
      <w:r>
        <w:rPr>
          <w:sz w:val="21"/>
        </w:rPr>
        <w:t>Step 8 — Demo predictions (ethanol, benzene, benzocaine) + summary table</w:t>
      </w:r>
    </w:p>
    <w:p>
      <w:pPr>
        <w:spacing w:before="240" w:after="80"/>
      </w:pPr>
      <w:r>
        <w:rPr>
          <w:b/>
          <w:color w:val="2E74B5"/>
          <w:sz w:val="26"/>
        </w:rPr>
        <w:t>Masked Per-Task Training</w:t>
      </w:r>
    </w:p>
    <w:p>
      <w:pPr>
        <w:spacing w:after="80"/>
      </w:pPr>
      <w:r>
        <w:rPr>
          <w:sz w:val="21"/>
        </w:rPr>
        <w:t>For each endpoint i, training uses only compounds where the label is not NaN. Each of the 12 models is therefore trained on a different-sized subset of the data (from ~4,666 samples for NR-Aromatase to ~5,812 for NR-AR).</w:t>
      </w:r>
    </w:p>
    <w:p>
      <w:pPr>
        <w:spacing w:before="80" w:after="80"/>
        <w:ind w:left="432"/>
        <w:shd w:val="clear" w:color="auto" w:fill="F5F5F5"/>
      </w:pPr>
      <w:r>
        <w:rPr>
          <w:rFonts w:ascii="Courier New" w:hAnsi="Courier New"/>
          <w:color w:val="1F1F1F"/>
          <w:sz w:val="18"/>
        </w:rPr>
        <w:t>for i, task in enumerate(task_names):</w:t>
        <w:br/>
        <w:t xml:space="preserve">    mask   = ~np.isnan(Y_train[:, i])       # known labels only</w:t>
        <w:br/>
        <w:t xml:space="preserve">    X_task = X_train[mask]</w:t>
        <w:br/>
        <w:t xml:space="preserve">    y_task = Y_train[mask, i].astype(int)</w:t>
        <w:br/>
        <w:t xml:space="preserve">    model_i.fit(X_task, y_task)</w:t>
        <w:br/>
        <w:t xml:space="preserve">    self.models.append(model_i)</w:t>
      </w:r>
    </w:p>
    <w:p>
      <w:pPr>
        <w:spacing w:before="240" w:after="80"/>
      </w:pPr>
      <w:r>
        <w:rPr>
          <w:b/>
          <w:color w:val="2E74B5"/>
          <w:sz w:val="26"/>
        </w:rPr>
        <w:t>Running the Pipeline</w:t>
      </w:r>
    </w:p>
    <w:p>
      <w:pPr>
        <w:spacing w:before="80" w:after="80"/>
        <w:ind w:left="432"/>
        <w:shd w:val="clear" w:color="auto" w:fill="F5F5F5"/>
      </w:pPr>
      <w:r>
        <w:rPr>
          <w:rFonts w:ascii="Courier New" w:hAnsi="Courier New"/>
          <w:color w:val="1F1F1F"/>
          <w:sz w:val="18"/>
        </w:rPr>
        <w:t>python src/train.py</w:t>
        <w:br/>
        <w:t># Completes in &lt; 1 minute on a modern laptop (scikit-learn, n_jobs=-1)</w:t>
      </w:r>
    </w:p>
    <w:p>
      <w:pPr>
        <w:spacing w:before="360" w:after="120"/>
        <w:pBdr>
          <w:bottom w:val="single" w:sz="6" w:space="1" w:color="2E74B5"/>
        </w:pBdr>
      </w:pPr>
      <w:r>
        <w:rPr>
          <w:b/>
          <w:color w:val="1F497D"/>
          <w:sz w:val="36"/>
        </w:rPr>
        <w:t>7. Evaluation Metrics &amp; Results</w:t>
      </w:r>
    </w:p>
    <w:p>
      <w:pPr>
        <w:spacing w:before="240" w:after="80"/>
      </w:pPr>
      <w:r>
        <w:rPr>
          <w:b/>
          <w:color w:val="2E74B5"/>
          <w:sz w:val="26"/>
        </w:rPr>
        <w:t>Metrics Used</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F497D"/>
          </w:tcPr>
          <w:p>
            <w:pPr>
              <w:jc w:val="center"/>
            </w:pPr>
            <w:r>
              <w:rPr>
                <w:b/>
                <w:color w:val="FFFFFF"/>
                <w:sz w:val="19"/>
              </w:rPr>
              <w:t>Metric</w:t>
            </w:r>
          </w:p>
        </w:tc>
        <w:tc>
          <w:tcPr>
            <w:tcW w:type="dxa" w:w="6192"/>
            <w:shd w:val="clear" w:color="auto" w:fill="1F497D"/>
          </w:tcPr>
          <w:p>
            <w:pPr>
              <w:jc w:val="center"/>
            </w:pPr>
            <w:r>
              <w:rPr>
                <w:b/>
                <w:color w:val="FFFFFF"/>
                <w:sz w:val="19"/>
              </w:rPr>
              <w:t>Why used</w:t>
            </w:r>
          </w:p>
        </w:tc>
      </w:tr>
      <w:tr>
        <w:tc>
          <w:tcPr>
            <w:tcW w:type="dxa" w:w="3168"/>
            <w:shd w:val="clear" w:color="auto" w:fill="F2F2F2"/>
          </w:tcPr>
          <w:p>
            <w:pPr>
              <w:jc w:val="center"/>
            </w:pPr>
            <w:r>
              <w:rPr>
                <w:sz w:val="18"/>
              </w:rPr>
              <w:t>AUROC (Area Under ROC Curve)</w:t>
            </w:r>
          </w:p>
        </w:tc>
        <w:tc>
          <w:tcPr>
            <w:tcW w:type="dxa" w:w="6192"/>
            <w:shd w:val="clear" w:color="auto" w:fill="F2F2F2"/>
          </w:tcPr>
          <w:p>
            <w:pPr>
              <w:jc w:val="center"/>
            </w:pPr>
            <w:r>
              <w:rPr>
                <w:sz w:val="18"/>
              </w:rPr>
              <w:t>Primary metric. Measures ranking ability. Threshold-free. Robust to class imbalance. 0.5 = random; 1.0 = perfect.</w:t>
            </w:r>
          </w:p>
        </w:tc>
      </w:tr>
      <w:tr>
        <w:tc>
          <w:tcPr>
            <w:tcW w:type="dxa" w:w="3168"/>
            <w:shd w:val="clear" w:color="auto" w:fill="FFFFFF"/>
          </w:tcPr>
          <w:p>
            <w:pPr>
              <w:jc w:val="center"/>
            </w:pPr>
            <w:r>
              <w:rPr>
                <w:sz w:val="18"/>
              </w:rPr>
              <w:t>AUPRC (Area Under Precision-Recall Curve)</w:t>
            </w:r>
          </w:p>
        </w:tc>
        <w:tc>
          <w:tcPr>
            <w:tcW w:type="dxa" w:w="6192"/>
            <w:shd w:val="clear" w:color="auto" w:fill="FFFFFF"/>
          </w:tcPr>
          <w:p>
            <w:pPr>
              <w:jc w:val="center"/>
            </w:pPr>
            <w:r>
              <w:rPr>
                <w:sz w:val="18"/>
              </w:rPr>
              <w:t>Secondary metric. More sensitive to rare-positive performance than AUROC. Better reflects real-world utility.</w:t>
            </w:r>
          </w:p>
        </w:tc>
      </w:tr>
      <w:tr>
        <w:tc>
          <w:tcPr>
            <w:tcW w:type="dxa" w:w="3168"/>
            <w:shd w:val="clear" w:color="auto" w:fill="F2F2F2"/>
          </w:tcPr>
          <w:p>
            <w:pPr>
              <w:jc w:val="center"/>
            </w:pPr>
            <w:r>
              <w:rPr>
                <w:sz w:val="18"/>
              </w:rPr>
              <w:t>Balanced Accuracy</w:t>
            </w:r>
          </w:p>
        </w:tc>
        <w:tc>
          <w:tcPr>
            <w:tcW w:type="dxa" w:w="6192"/>
            <w:shd w:val="clear" w:color="auto" w:fill="F2F2F2"/>
          </w:tcPr>
          <w:p>
            <w:pPr>
              <w:jc w:val="center"/>
            </w:pPr>
            <w:r>
              <w:rPr>
                <w:sz w:val="18"/>
              </w:rPr>
              <w:t>(TPR + TNR) / 2. Accounts for class imbalance; meaningful at a fixed 0.5 threshold.</w:t>
            </w:r>
          </w:p>
        </w:tc>
      </w:tr>
    </w:tbl>
    <w:p/>
    <w:p>
      <w:pPr>
        <w:spacing w:before="240" w:after="80"/>
      </w:pPr>
      <w:r>
        <w:rPr>
          <w:b/>
          <w:color w:val="2E74B5"/>
          <w:sz w:val="26"/>
        </w:rPr>
        <w:t>Validation Set Results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497D"/>
          </w:tcPr>
          <w:p>
            <w:pPr>
              <w:jc w:val="center"/>
            </w:pPr>
            <w:r>
              <w:rPr>
                <w:b/>
                <w:color w:val="FFFFFF"/>
                <w:sz w:val="19"/>
              </w:rPr>
              <w:t>Endpoint</w:t>
            </w:r>
          </w:p>
        </w:tc>
        <w:tc>
          <w:tcPr>
            <w:tcW w:type="dxa" w:w="1728"/>
            <w:shd w:val="clear" w:color="auto" w:fill="1F497D"/>
          </w:tcPr>
          <w:p>
            <w:pPr>
              <w:jc w:val="center"/>
            </w:pPr>
            <w:r>
              <w:rPr>
                <w:b/>
                <w:color w:val="FFFFFF"/>
                <w:sz w:val="19"/>
              </w:rPr>
              <w:t>AUROC</w:t>
            </w:r>
          </w:p>
        </w:tc>
        <w:tc>
          <w:tcPr>
            <w:tcW w:type="dxa" w:w="1728"/>
            <w:shd w:val="clear" w:color="auto" w:fill="1F497D"/>
          </w:tcPr>
          <w:p>
            <w:pPr>
              <w:jc w:val="center"/>
            </w:pPr>
            <w:r>
              <w:rPr>
                <w:b/>
                <w:color w:val="FFFFFF"/>
                <w:sz w:val="19"/>
              </w:rPr>
              <w:t>AUPRC</w:t>
            </w:r>
          </w:p>
        </w:tc>
        <w:tc>
          <w:tcPr>
            <w:tcW w:type="dxa" w:w="2160"/>
            <w:shd w:val="clear" w:color="auto" w:fill="1F497D"/>
          </w:tcPr>
          <w:p>
            <w:pPr>
              <w:jc w:val="center"/>
            </w:pPr>
            <w:r>
              <w:rPr>
                <w:b/>
                <w:color w:val="FFFFFF"/>
                <w:sz w:val="19"/>
              </w:rPr>
              <w:t>Balanced Acc</w:t>
            </w:r>
          </w:p>
        </w:tc>
      </w:tr>
      <w:tr>
        <w:tc>
          <w:tcPr>
            <w:tcW w:type="dxa" w:w="2592"/>
            <w:shd w:val="clear" w:color="auto" w:fill="F2F2F2"/>
          </w:tcPr>
          <w:p>
            <w:pPr>
              <w:jc w:val="center"/>
            </w:pPr>
            <w:r>
              <w:rPr>
                <w:sz w:val="18"/>
              </w:rPr>
              <w:t>NR-AR</w:t>
            </w:r>
          </w:p>
        </w:tc>
        <w:tc>
          <w:tcPr>
            <w:tcW w:type="dxa" w:w="1728"/>
            <w:shd w:val="clear" w:color="auto" w:fill="F2F2F2"/>
          </w:tcPr>
          <w:p>
            <w:pPr>
              <w:jc w:val="center"/>
            </w:pPr>
            <w:r>
              <w:rPr>
                <w:sz w:val="18"/>
              </w:rPr>
              <w:t>0.7699</w:t>
            </w:r>
          </w:p>
        </w:tc>
        <w:tc>
          <w:tcPr>
            <w:tcW w:type="dxa" w:w="1728"/>
            <w:shd w:val="clear" w:color="auto" w:fill="F2F2F2"/>
          </w:tcPr>
          <w:p>
            <w:pPr>
              <w:jc w:val="center"/>
            </w:pPr>
            <w:r>
              <w:rPr>
                <w:sz w:val="18"/>
              </w:rPr>
              <w:t>0.5336</w:t>
            </w:r>
          </w:p>
        </w:tc>
        <w:tc>
          <w:tcPr>
            <w:tcW w:type="dxa" w:w="2160"/>
            <w:shd w:val="clear" w:color="auto" w:fill="F2F2F2"/>
          </w:tcPr>
          <w:p>
            <w:pPr>
              <w:jc w:val="center"/>
            </w:pPr>
            <w:r>
              <w:rPr>
                <w:sz w:val="18"/>
              </w:rPr>
              <w:t>0.7414</w:t>
            </w:r>
          </w:p>
        </w:tc>
      </w:tr>
      <w:tr>
        <w:tc>
          <w:tcPr>
            <w:tcW w:type="dxa" w:w="2592"/>
            <w:shd w:val="clear" w:color="auto" w:fill="FFFFFF"/>
          </w:tcPr>
          <w:p>
            <w:pPr>
              <w:jc w:val="center"/>
            </w:pPr>
            <w:r>
              <w:rPr>
                <w:sz w:val="18"/>
              </w:rPr>
              <w:t>NR-AR-LBD</w:t>
            </w:r>
          </w:p>
        </w:tc>
        <w:tc>
          <w:tcPr>
            <w:tcW w:type="dxa" w:w="1728"/>
            <w:shd w:val="clear" w:color="auto" w:fill="FFFFFF"/>
          </w:tcPr>
          <w:p>
            <w:pPr>
              <w:jc w:val="center"/>
            </w:pPr>
            <w:r>
              <w:rPr>
                <w:sz w:val="18"/>
              </w:rPr>
              <w:t>0.8707</w:t>
            </w:r>
          </w:p>
        </w:tc>
        <w:tc>
          <w:tcPr>
            <w:tcW w:type="dxa" w:w="1728"/>
            <w:shd w:val="clear" w:color="auto" w:fill="FFFFFF"/>
          </w:tcPr>
          <w:p>
            <w:pPr>
              <w:jc w:val="center"/>
            </w:pPr>
            <w:r>
              <w:rPr>
                <w:sz w:val="18"/>
              </w:rPr>
              <w:t>0.6574</w:t>
            </w:r>
          </w:p>
        </w:tc>
        <w:tc>
          <w:tcPr>
            <w:tcW w:type="dxa" w:w="2160"/>
            <w:shd w:val="clear" w:color="auto" w:fill="FFFFFF"/>
          </w:tcPr>
          <w:p>
            <w:pPr>
              <w:jc w:val="center"/>
            </w:pPr>
            <w:r>
              <w:rPr>
                <w:sz w:val="18"/>
              </w:rPr>
              <w:t>0.8363</w:t>
            </w:r>
          </w:p>
        </w:tc>
      </w:tr>
      <w:tr>
        <w:tc>
          <w:tcPr>
            <w:tcW w:type="dxa" w:w="2592"/>
            <w:shd w:val="clear" w:color="auto" w:fill="F2F2F2"/>
          </w:tcPr>
          <w:p>
            <w:pPr>
              <w:jc w:val="center"/>
            </w:pPr>
            <w:r>
              <w:rPr>
                <w:sz w:val="18"/>
              </w:rPr>
              <w:t>NR-AhR</w:t>
            </w:r>
          </w:p>
        </w:tc>
        <w:tc>
          <w:tcPr>
            <w:tcW w:type="dxa" w:w="1728"/>
            <w:shd w:val="clear" w:color="auto" w:fill="F2F2F2"/>
          </w:tcPr>
          <w:p>
            <w:pPr>
              <w:jc w:val="center"/>
            </w:pPr>
            <w:r>
              <w:rPr>
                <w:sz w:val="18"/>
              </w:rPr>
              <w:t>0.8878</w:t>
            </w:r>
          </w:p>
        </w:tc>
        <w:tc>
          <w:tcPr>
            <w:tcW w:type="dxa" w:w="1728"/>
            <w:shd w:val="clear" w:color="auto" w:fill="F2F2F2"/>
          </w:tcPr>
          <w:p>
            <w:pPr>
              <w:jc w:val="center"/>
            </w:pPr>
            <w:r>
              <w:rPr>
                <w:sz w:val="18"/>
              </w:rPr>
              <w:t>0.6096</w:t>
            </w:r>
          </w:p>
        </w:tc>
        <w:tc>
          <w:tcPr>
            <w:tcW w:type="dxa" w:w="2160"/>
            <w:shd w:val="clear" w:color="auto" w:fill="F2F2F2"/>
          </w:tcPr>
          <w:p>
            <w:pPr>
              <w:jc w:val="center"/>
            </w:pPr>
            <w:r>
              <w:rPr>
                <w:sz w:val="18"/>
              </w:rPr>
              <w:t>0.7669</w:t>
            </w:r>
          </w:p>
        </w:tc>
      </w:tr>
      <w:tr>
        <w:tc>
          <w:tcPr>
            <w:tcW w:type="dxa" w:w="2592"/>
            <w:shd w:val="clear" w:color="auto" w:fill="FFFFFF"/>
          </w:tcPr>
          <w:p>
            <w:pPr>
              <w:jc w:val="center"/>
            </w:pPr>
            <w:r>
              <w:rPr>
                <w:sz w:val="18"/>
              </w:rPr>
              <w:t>NR-Aromatase</w:t>
            </w:r>
          </w:p>
        </w:tc>
        <w:tc>
          <w:tcPr>
            <w:tcW w:type="dxa" w:w="1728"/>
            <w:shd w:val="clear" w:color="auto" w:fill="FFFFFF"/>
          </w:tcPr>
          <w:p>
            <w:pPr>
              <w:jc w:val="center"/>
            </w:pPr>
            <w:r>
              <w:rPr>
                <w:sz w:val="18"/>
              </w:rPr>
              <w:t>0.8099</w:t>
            </w:r>
          </w:p>
        </w:tc>
        <w:tc>
          <w:tcPr>
            <w:tcW w:type="dxa" w:w="1728"/>
            <w:shd w:val="clear" w:color="auto" w:fill="FFFFFF"/>
          </w:tcPr>
          <w:p>
            <w:pPr>
              <w:jc w:val="center"/>
            </w:pPr>
            <w:r>
              <w:rPr>
                <w:sz w:val="18"/>
              </w:rPr>
              <w:t>0.3757</w:t>
            </w:r>
          </w:p>
        </w:tc>
        <w:tc>
          <w:tcPr>
            <w:tcW w:type="dxa" w:w="2160"/>
            <w:shd w:val="clear" w:color="auto" w:fill="FFFFFF"/>
          </w:tcPr>
          <w:p>
            <w:pPr>
              <w:jc w:val="center"/>
            </w:pPr>
            <w:r>
              <w:rPr>
                <w:sz w:val="18"/>
              </w:rPr>
              <w:t>0.6370</w:t>
            </w:r>
          </w:p>
        </w:tc>
      </w:tr>
      <w:tr>
        <w:tc>
          <w:tcPr>
            <w:tcW w:type="dxa" w:w="2592"/>
            <w:shd w:val="clear" w:color="auto" w:fill="F2F2F2"/>
          </w:tcPr>
          <w:p>
            <w:pPr>
              <w:jc w:val="center"/>
            </w:pPr>
            <w:r>
              <w:rPr>
                <w:sz w:val="18"/>
              </w:rPr>
              <w:t>NR-ER</w:t>
            </w:r>
          </w:p>
        </w:tc>
        <w:tc>
          <w:tcPr>
            <w:tcW w:type="dxa" w:w="1728"/>
            <w:shd w:val="clear" w:color="auto" w:fill="F2F2F2"/>
          </w:tcPr>
          <w:p>
            <w:pPr>
              <w:jc w:val="center"/>
            </w:pPr>
            <w:r>
              <w:rPr>
                <w:sz w:val="18"/>
              </w:rPr>
              <w:t>0.6820</w:t>
            </w:r>
          </w:p>
        </w:tc>
        <w:tc>
          <w:tcPr>
            <w:tcW w:type="dxa" w:w="1728"/>
            <w:shd w:val="clear" w:color="auto" w:fill="F2F2F2"/>
          </w:tcPr>
          <w:p>
            <w:pPr>
              <w:jc w:val="center"/>
            </w:pPr>
            <w:r>
              <w:rPr>
                <w:sz w:val="18"/>
              </w:rPr>
              <w:t>0.4520</w:t>
            </w:r>
          </w:p>
        </w:tc>
        <w:tc>
          <w:tcPr>
            <w:tcW w:type="dxa" w:w="2160"/>
            <w:shd w:val="clear" w:color="auto" w:fill="F2F2F2"/>
          </w:tcPr>
          <w:p>
            <w:pPr>
              <w:jc w:val="center"/>
            </w:pPr>
            <w:r>
              <w:rPr>
                <w:sz w:val="18"/>
              </w:rPr>
              <w:t>0.6902</w:t>
            </w:r>
          </w:p>
        </w:tc>
      </w:tr>
      <w:tr>
        <w:tc>
          <w:tcPr>
            <w:tcW w:type="dxa" w:w="2592"/>
            <w:shd w:val="clear" w:color="auto" w:fill="FFFFFF"/>
          </w:tcPr>
          <w:p>
            <w:pPr>
              <w:jc w:val="center"/>
            </w:pPr>
            <w:r>
              <w:rPr>
                <w:sz w:val="18"/>
              </w:rPr>
              <w:t>NR-ER-LBD</w:t>
            </w:r>
          </w:p>
        </w:tc>
        <w:tc>
          <w:tcPr>
            <w:tcW w:type="dxa" w:w="1728"/>
            <w:shd w:val="clear" w:color="auto" w:fill="FFFFFF"/>
          </w:tcPr>
          <w:p>
            <w:pPr>
              <w:jc w:val="center"/>
            </w:pPr>
            <w:r>
              <w:rPr>
                <w:sz w:val="18"/>
              </w:rPr>
              <w:t>0.7932</w:t>
            </w:r>
          </w:p>
        </w:tc>
        <w:tc>
          <w:tcPr>
            <w:tcW w:type="dxa" w:w="1728"/>
            <w:shd w:val="clear" w:color="auto" w:fill="FFFFFF"/>
          </w:tcPr>
          <w:p>
            <w:pPr>
              <w:jc w:val="center"/>
            </w:pPr>
            <w:r>
              <w:rPr>
                <w:sz w:val="18"/>
              </w:rPr>
              <w:t>0.5178</w:t>
            </w:r>
          </w:p>
        </w:tc>
        <w:tc>
          <w:tcPr>
            <w:tcW w:type="dxa" w:w="2160"/>
            <w:shd w:val="clear" w:color="auto" w:fill="FFFFFF"/>
          </w:tcPr>
          <w:p>
            <w:pPr>
              <w:jc w:val="center"/>
            </w:pPr>
            <w:r>
              <w:rPr>
                <w:sz w:val="18"/>
              </w:rPr>
              <w:t>0.7292</w:t>
            </w:r>
          </w:p>
        </w:tc>
      </w:tr>
      <w:tr>
        <w:tc>
          <w:tcPr>
            <w:tcW w:type="dxa" w:w="2592"/>
            <w:shd w:val="clear" w:color="auto" w:fill="F2F2F2"/>
          </w:tcPr>
          <w:p>
            <w:pPr>
              <w:jc w:val="center"/>
            </w:pPr>
            <w:r>
              <w:rPr>
                <w:sz w:val="18"/>
              </w:rPr>
              <w:t>NR-PPAR-gamma</w:t>
            </w:r>
          </w:p>
        </w:tc>
        <w:tc>
          <w:tcPr>
            <w:tcW w:type="dxa" w:w="1728"/>
            <w:shd w:val="clear" w:color="auto" w:fill="F2F2F2"/>
          </w:tcPr>
          <w:p>
            <w:pPr>
              <w:jc w:val="center"/>
            </w:pPr>
            <w:r>
              <w:rPr>
                <w:sz w:val="18"/>
              </w:rPr>
              <w:t>0.8109</w:t>
            </w:r>
          </w:p>
        </w:tc>
        <w:tc>
          <w:tcPr>
            <w:tcW w:type="dxa" w:w="1728"/>
            <w:shd w:val="clear" w:color="auto" w:fill="F2F2F2"/>
          </w:tcPr>
          <w:p>
            <w:pPr>
              <w:jc w:val="center"/>
            </w:pPr>
            <w:r>
              <w:rPr>
                <w:sz w:val="18"/>
              </w:rPr>
              <w:t>0.1625</w:t>
            </w:r>
          </w:p>
        </w:tc>
        <w:tc>
          <w:tcPr>
            <w:tcW w:type="dxa" w:w="2160"/>
            <w:shd w:val="clear" w:color="auto" w:fill="F2F2F2"/>
          </w:tcPr>
          <w:p>
            <w:pPr>
              <w:jc w:val="center"/>
            </w:pPr>
            <w:r>
              <w:rPr>
                <w:sz w:val="18"/>
              </w:rPr>
              <w:t>0.5697</w:t>
            </w:r>
          </w:p>
        </w:tc>
      </w:tr>
      <w:tr>
        <w:tc>
          <w:tcPr>
            <w:tcW w:type="dxa" w:w="2592"/>
            <w:shd w:val="clear" w:color="auto" w:fill="FFFFFF"/>
          </w:tcPr>
          <w:p>
            <w:pPr>
              <w:jc w:val="center"/>
            </w:pPr>
            <w:r>
              <w:rPr>
                <w:sz w:val="18"/>
              </w:rPr>
              <w:t>SR-ARE</w:t>
            </w:r>
          </w:p>
        </w:tc>
        <w:tc>
          <w:tcPr>
            <w:tcW w:type="dxa" w:w="1728"/>
            <w:shd w:val="clear" w:color="auto" w:fill="FFFFFF"/>
          </w:tcPr>
          <w:p>
            <w:pPr>
              <w:jc w:val="center"/>
            </w:pPr>
            <w:r>
              <w:rPr>
                <w:sz w:val="18"/>
              </w:rPr>
              <w:t>0.7539</w:t>
            </w:r>
          </w:p>
        </w:tc>
        <w:tc>
          <w:tcPr>
            <w:tcW w:type="dxa" w:w="1728"/>
            <w:shd w:val="clear" w:color="auto" w:fill="FFFFFF"/>
          </w:tcPr>
          <w:p>
            <w:pPr>
              <w:jc w:val="center"/>
            </w:pPr>
            <w:r>
              <w:rPr>
                <w:sz w:val="18"/>
              </w:rPr>
              <w:t>0.4556</w:t>
            </w:r>
          </w:p>
        </w:tc>
        <w:tc>
          <w:tcPr>
            <w:tcW w:type="dxa" w:w="2160"/>
            <w:shd w:val="clear" w:color="auto" w:fill="FFFFFF"/>
          </w:tcPr>
          <w:p>
            <w:pPr>
              <w:jc w:val="center"/>
            </w:pPr>
            <w:r>
              <w:rPr>
                <w:sz w:val="18"/>
              </w:rPr>
              <w:t>0.6406</w:t>
            </w:r>
          </w:p>
        </w:tc>
      </w:tr>
      <w:tr>
        <w:tc>
          <w:tcPr>
            <w:tcW w:type="dxa" w:w="2592"/>
            <w:shd w:val="clear" w:color="auto" w:fill="F2F2F2"/>
          </w:tcPr>
          <w:p>
            <w:pPr>
              <w:jc w:val="center"/>
            </w:pPr>
            <w:r>
              <w:rPr>
                <w:sz w:val="18"/>
              </w:rPr>
              <w:t>SR-ATAD5</w:t>
            </w:r>
          </w:p>
        </w:tc>
        <w:tc>
          <w:tcPr>
            <w:tcW w:type="dxa" w:w="1728"/>
            <w:shd w:val="clear" w:color="auto" w:fill="F2F2F2"/>
          </w:tcPr>
          <w:p>
            <w:pPr>
              <w:jc w:val="center"/>
            </w:pPr>
            <w:r>
              <w:rPr>
                <w:sz w:val="18"/>
              </w:rPr>
              <w:t>0.7611</w:t>
            </w:r>
          </w:p>
        </w:tc>
        <w:tc>
          <w:tcPr>
            <w:tcW w:type="dxa" w:w="1728"/>
            <w:shd w:val="clear" w:color="auto" w:fill="F2F2F2"/>
          </w:tcPr>
          <w:p>
            <w:pPr>
              <w:jc w:val="center"/>
            </w:pPr>
            <w:r>
              <w:rPr>
                <w:sz w:val="18"/>
              </w:rPr>
              <w:t>0.1780</w:t>
            </w:r>
          </w:p>
        </w:tc>
        <w:tc>
          <w:tcPr>
            <w:tcW w:type="dxa" w:w="2160"/>
            <w:shd w:val="clear" w:color="auto" w:fill="F2F2F2"/>
          </w:tcPr>
          <w:p>
            <w:pPr>
              <w:jc w:val="center"/>
            </w:pPr>
            <w:r>
              <w:rPr>
                <w:sz w:val="18"/>
              </w:rPr>
              <w:t>0.6361</w:t>
            </w:r>
          </w:p>
        </w:tc>
      </w:tr>
      <w:tr>
        <w:tc>
          <w:tcPr>
            <w:tcW w:type="dxa" w:w="2592"/>
            <w:shd w:val="clear" w:color="auto" w:fill="FFFFFF"/>
          </w:tcPr>
          <w:p>
            <w:pPr>
              <w:jc w:val="center"/>
            </w:pPr>
            <w:r>
              <w:rPr>
                <w:sz w:val="18"/>
              </w:rPr>
              <w:t>SR-HSE</w:t>
            </w:r>
          </w:p>
        </w:tc>
        <w:tc>
          <w:tcPr>
            <w:tcW w:type="dxa" w:w="1728"/>
            <w:shd w:val="clear" w:color="auto" w:fill="FFFFFF"/>
          </w:tcPr>
          <w:p>
            <w:pPr>
              <w:jc w:val="center"/>
            </w:pPr>
            <w:r>
              <w:rPr>
                <w:sz w:val="18"/>
              </w:rPr>
              <w:t>0.7012</w:t>
            </w:r>
          </w:p>
        </w:tc>
        <w:tc>
          <w:tcPr>
            <w:tcW w:type="dxa" w:w="1728"/>
            <w:shd w:val="clear" w:color="auto" w:fill="FFFFFF"/>
          </w:tcPr>
          <w:p>
            <w:pPr>
              <w:jc w:val="center"/>
            </w:pPr>
            <w:r>
              <w:rPr>
                <w:sz w:val="18"/>
              </w:rPr>
              <w:t>0.2626</w:t>
            </w:r>
          </w:p>
        </w:tc>
        <w:tc>
          <w:tcPr>
            <w:tcW w:type="dxa" w:w="2160"/>
            <w:shd w:val="clear" w:color="auto" w:fill="FFFFFF"/>
          </w:tcPr>
          <w:p>
            <w:pPr>
              <w:jc w:val="center"/>
            </w:pPr>
            <w:r>
              <w:rPr>
                <w:sz w:val="18"/>
              </w:rPr>
              <w:t>0.6383</w:t>
            </w:r>
          </w:p>
        </w:tc>
      </w:tr>
      <w:tr>
        <w:tc>
          <w:tcPr>
            <w:tcW w:type="dxa" w:w="2592"/>
            <w:shd w:val="clear" w:color="auto" w:fill="F2F2F2"/>
          </w:tcPr>
          <w:p>
            <w:pPr>
              <w:jc w:val="center"/>
            </w:pPr>
            <w:r>
              <w:rPr>
                <w:sz w:val="18"/>
              </w:rPr>
              <w:t>SR-MMP</w:t>
            </w:r>
          </w:p>
        </w:tc>
        <w:tc>
          <w:tcPr>
            <w:tcW w:type="dxa" w:w="1728"/>
            <w:shd w:val="clear" w:color="auto" w:fill="F2F2F2"/>
          </w:tcPr>
          <w:p>
            <w:pPr>
              <w:jc w:val="center"/>
            </w:pPr>
            <w:r>
              <w:rPr>
                <w:sz w:val="18"/>
              </w:rPr>
              <w:t>0.8594</w:t>
            </w:r>
          </w:p>
        </w:tc>
        <w:tc>
          <w:tcPr>
            <w:tcW w:type="dxa" w:w="1728"/>
            <w:shd w:val="clear" w:color="auto" w:fill="F2F2F2"/>
          </w:tcPr>
          <w:p>
            <w:pPr>
              <w:jc w:val="center"/>
            </w:pPr>
            <w:r>
              <w:rPr>
                <w:sz w:val="18"/>
              </w:rPr>
              <w:t>0.6296</w:t>
            </w:r>
          </w:p>
        </w:tc>
        <w:tc>
          <w:tcPr>
            <w:tcW w:type="dxa" w:w="2160"/>
            <w:shd w:val="clear" w:color="auto" w:fill="F2F2F2"/>
          </w:tcPr>
          <w:p>
            <w:pPr>
              <w:jc w:val="center"/>
            </w:pPr>
            <w:r>
              <w:rPr>
                <w:sz w:val="18"/>
              </w:rPr>
              <w:t>0.7879</w:t>
            </w:r>
          </w:p>
        </w:tc>
      </w:tr>
      <w:tr>
        <w:tc>
          <w:tcPr>
            <w:tcW w:type="dxa" w:w="2592"/>
            <w:shd w:val="clear" w:color="auto" w:fill="FFFFFF"/>
          </w:tcPr>
          <w:p>
            <w:pPr>
              <w:jc w:val="center"/>
            </w:pPr>
            <w:r>
              <w:rPr>
                <w:sz w:val="18"/>
              </w:rPr>
              <w:t>SR-p53</w:t>
            </w:r>
          </w:p>
        </w:tc>
        <w:tc>
          <w:tcPr>
            <w:tcW w:type="dxa" w:w="1728"/>
            <w:shd w:val="clear" w:color="auto" w:fill="FFFFFF"/>
          </w:tcPr>
          <w:p>
            <w:pPr>
              <w:jc w:val="center"/>
            </w:pPr>
            <w:r>
              <w:rPr>
                <w:sz w:val="18"/>
              </w:rPr>
              <w:t>0.8179</w:t>
            </w:r>
          </w:p>
        </w:tc>
        <w:tc>
          <w:tcPr>
            <w:tcW w:type="dxa" w:w="1728"/>
            <w:shd w:val="clear" w:color="auto" w:fill="FFFFFF"/>
          </w:tcPr>
          <w:p>
            <w:pPr>
              <w:jc w:val="center"/>
            </w:pPr>
            <w:r>
              <w:rPr>
                <w:sz w:val="18"/>
              </w:rPr>
              <w:t>0.4014</w:t>
            </w:r>
          </w:p>
        </w:tc>
        <w:tc>
          <w:tcPr>
            <w:tcW w:type="dxa" w:w="2160"/>
            <w:shd w:val="clear" w:color="auto" w:fill="FFFFFF"/>
          </w:tcPr>
          <w:p>
            <w:pPr>
              <w:jc w:val="center"/>
            </w:pPr>
            <w:r>
              <w:rPr>
                <w:sz w:val="18"/>
              </w:rPr>
              <w:t>0.6420</w:t>
            </w:r>
          </w:p>
        </w:tc>
      </w:tr>
      <w:tr>
        <w:tc>
          <w:tcPr>
            <w:tcW w:type="dxa" w:w="2592"/>
            <w:shd w:val="clear" w:color="auto" w:fill="F2F2F2"/>
          </w:tcPr>
          <w:p>
            <w:pPr>
              <w:jc w:val="center"/>
            </w:pPr>
            <w:r>
              <w:rPr>
                <w:b/>
                <w:sz w:val="18"/>
              </w:rPr>
              <w:t>Mean</w:t>
            </w:r>
          </w:p>
        </w:tc>
        <w:tc>
          <w:tcPr>
            <w:tcW w:type="dxa" w:w="1728"/>
            <w:shd w:val="clear" w:color="auto" w:fill="F2F2F2"/>
          </w:tcPr>
          <w:p>
            <w:pPr>
              <w:jc w:val="center"/>
            </w:pPr>
            <w:r>
              <w:rPr>
                <w:sz w:val="18"/>
              </w:rPr>
              <w:t>0.7932</w:t>
            </w:r>
          </w:p>
        </w:tc>
        <w:tc>
          <w:tcPr>
            <w:tcW w:type="dxa" w:w="1728"/>
            <w:shd w:val="clear" w:color="auto" w:fill="F2F2F2"/>
          </w:tcPr>
          <w:p>
            <w:pPr>
              <w:jc w:val="center"/>
            </w:pPr>
            <w:r>
              <w:rPr>
                <w:sz w:val="18"/>
              </w:rPr>
              <w:t>0.4197</w:t>
            </w:r>
          </w:p>
        </w:tc>
        <w:tc>
          <w:tcPr>
            <w:tcW w:type="dxa" w:w="2160"/>
            <w:shd w:val="clear" w:color="auto" w:fill="F2F2F2"/>
          </w:tcPr>
          <w:p>
            <w:pPr>
              <w:jc w:val="center"/>
            </w:pPr>
            <w:r>
              <w:rPr>
                <w:sz w:val="18"/>
              </w:rPr>
              <w:t>0.6929</w:t>
            </w:r>
          </w:p>
        </w:tc>
      </w:tr>
    </w:tbl>
    <w:p/>
    <w:p>
      <w:pPr>
        <w:spacing w:before="240" w:after="80"/>
      </w:pPr>
      <w:r>
        <w:rPr>
          <w:b/>
          <w:color w:val="2E74B5"/>
          <w:sz w:val="26"/>
        </w:rPr>
        <w:t>Test Set Results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497D"/>
          </w:tcPr>
          <w:p>
            <w:pPr>
              <w:jc w:val="center"/>
            </w:pPr>
            <w:r>
              <w:rPr>
                <w:b/>
                <w:color w:val="FFFFFF"/>
                <w:sz w:val="19"/>
              </w:rPr>
              <w:t>Endpoint</w:t>
            </w:r>
          </w:p>
        </w:tc>
        <w:tc>
          <w:tcPr>
            <w:tcW w:type="dxa" w:w="1728"/>
            <w:shd w:val="clear" w:color="auto" w:fill="1F497D"/>
          </w:tcPr>
          <w:p>
            <w:pPr>
              <w:jc w:val="center"/>
            </w:pPr>
            <w:r>
              <w:rPr>
                <w:b/>
                <w:color w:val="FFFFFF"/>
                <w:sz w:val="19"/>
              </w:rPr>
              <w:t>AUROC</w:t>
            </w:r>
          </w:p>
        </w:tc>
        <w:tc>
          <w:tcPr>
            <w:tcW w:type="dxa" w:w="1728"/>
            <w:shd w:val="clear" w:color="auto" w:fill="1F497D"/>
          </w:tcPr>
          <w:p>
            <w:pPr>
              <w:jc w:val="center"/>
            </w:pPr>
            <w:r>
              <w:rPr>
                <w:b/>
                <w:color w:val="FFFFFF"/>
                <w:sz w:val="19"/>
              </w:rPr>
              <w:t>AUPRC</w:t>
            </w:r>
          </w:p>
        </w:tc>
        <w:tc>
          <w:tcPr>
            <w:tcW w:type="dxa" w:w="2160"/>
            <w:shd w:val="clear" w:color="auto" w:fill="1F497D"/>
          </w:tcPr>
          <w:p>
            <w:pPr>
              <w:jc w:val="center"/>
            </w:pPr>
            <w:r>
              <w:rPr>
                <w:b/>
                <w:color w:val="FFFFFF"/>
                <w:sz w:val="19"/>
              </w:rPr>
              <w:t>Balanced Acc</w:t>
            </w:r>
          </w:p>
        </w:tc>
      </w:tr>
      <w:tr>
        <w:tc>
          <w:tcPr>
            <w:tcW w:type="dxa" w:w="2592"/>
            <w:shd w:val="clear" w:color="auto" w:fill="F2F2F2"/>
          </w:tcPr>
          <w:p>
            <w:pPr>
              <w:jc w:val="center"/>
            </w:pPr>
            <w:r>
              <w:rPr>
                <w:sz w:val="18"/>
              </w:rPr>
              <w:t>NR-AR</w:t>
            </w:r>
          </w:p>
        </w:tc>
        <w:tc>
          <w:tcPr>
            <w:tcW w:type="dxa" w:w="1728"/>
            <w:shd w:val="clear" w:color="auto" w:fill="F2F2F2"/>
          </w:tcPr>
          <w:p>
            <w:pPr>
              <w:jc w:val="center"/>
            </w:pPr>
            <w:r>
              <w:rPr>
                <w:sz w:val="18"/>
              </w:rPr>
              <w:t>0.8169</w:t>
            </w:r>
          </w:p>
        </w:tc>
        <w:tc>
          <w:tcPr>
            <w:tcW w:type="dxa" w:w="1728"/>
            <w:shd w:val="clear" w:color="auto" w:fill="F2F2F2"/>
          </w:tcPr>
          <w:p>
            <w:pPr>
              <w:jc w:val="center"/>
            </w:pPr>
            <w:r>
              <w:rPr>
                <w:sz w:val="18"/>
              </w:rPr>
              <w:t>0.5266</w:t>
            </w:r>
          </w:p>
        </w:tc>
        <w:tc>
          <w:tcPr>
            <w:tcW w:type="dxa" w:w="2160"/>
            <w:shd w:val="clear" w:color="auto" w:fill="F2F2F2"/>
          </w:tcPr>
          <w:p>
            <w:pPr>
              <w:jc w:val="center"/>
            </w:pPr>
            <w:r>
              <w:rPr>
                <w:sz w:val="18"/>
              </w:rPr>
              <w:t>0.7341</w:t>
            </w:r>
          </w:p>
        </w:tc>
      </w:tr>
      <w:tr>
        <w:tc>
          <w:tcPr>
            <w:tcW w:type="dxa" w:w="2592"/>
            <w:shd w:val="clear" w:color="auto" w:fill="FFFFFF"/>
          </w:tcPr>
          <w:p>
            <w:pPr>
              <w:jc w:val="center"/>
            </w:pPr>
            <w:r>
              <w:rPr>
                <w:sz w:val="18"/>
              </w:rPr>
              <w:t>NR-AR-LBD</w:t>
            </w:r>
          </w:p>
        </w:tc>
        <w:tc>
          <w:tcPr>
            <w:tcW w:type="dxa" w:w="1728"/>
            <w:shd w:val="clear" w:color="auto" w:fill="FFFFFF"/>
          </w:tcPr>
          <w:p>
            <w:pPr>
              <w:jc w:val="center"/>
            </w:pPr>
            <w:r>
              <w:rPr>
                <w:sz w:val="18"/>
              </w:rPr>
              <w:t>0.8395</w:t>
            </w:r>
          </w:p>
        </w:tc>
        <w:tc>
          <w:tcPr>
            <w:tcW w:type="dxa" w:w="1728"/>
            <w:shd w:val="clear" w:color="auto" w:fill="FFFFFF"/>
          </w:tcPr>
          <w:p>
            <w:pPr>
              <w:jc w:val="center"/>
            </w:pPr>
            <w:r>
              <w:rPr>
                <w:sz w:val="18"/>
              </w:rPr>
              <w:t>0.6489</w:t>
            </w:r>
          </w:p>
        </w:tc>
        <w:tc>
          <w:tcPr>
            <w:tcW w:type="dxa" w:w="2160"/>
            <w:shd w:val="clear" w:color="auto" w:fill="FFFFFF"/>
          </w:tcPr>
          <w:p>
            <w:pPr>
              <w:jc w:val="center"/>
            </w:pPr>
            <w:r>
              <w:rPr>
                <w:sz w:val="18"/>
              </w:rPr>
              <w:t>0.7761</w:t>
            </w:r>
          </w:p>
        </w:tc>
      </w:tr>
      <w:tr>
        <w:tc>
          <w:tcPr>
            <w:tcW w:type="dxa" w:w="2592"/>
            <w:shd w:val="clear" w:color="auto" w:fill="F2F2F2"/>
          </w:tcPr>
          <w:p>
            <w:pPr>
              <w:jc w:val="center"/>
            </w:pPr>
            <w:r>
              <w:rPr>
                <w:sz w:val="18"/>
              </w:rPr>
              <w:t>NR-AhR</w:t>
            </w:r>
          </w:p>
        </w:tc>
        <w:tc>
          <w:tcPr>
            <w:tcW w:type="dxa" w:w="1728"/>
            <w:shd w:val="clear" w:color="auto" w:fill="F2F2F2"/>
          </w:tcPr>
          <w:p>
            <w:pPr>
              <w:jc w:val="center"/>
            </w:pPr>
            <w:r>
              <w:rPr>
                <w:sz w:val="18"/>
              </w:rPr>
              <w:t>0.8635</w:t>
            </w:r>
          </w:p>
        </w:tc>
        <w:tc>
          <w:tcPr>
            <w:tcW w:type="dxa" w:w="1728"/>
            <w:shd w:val="clear" w:color="auto" w:fill="F2F2F2"/>
          </w:tcPr>
          <w:p>
            <w:pPr>
              <w:jc w:val="center"/>
            </w:pPr>
            <w:r>
              <w:rPr>
                <w:sz w:val="18"/>
              </w:rPr>
              <w:t>0.4975</w:t>
            </w:r>
          </w:p>
        </w:tc>
        <w:tc>
          <w:tcPr>
            <w:tcW w:type="dxa" w:w="2160"/>
            <w:shd w:val="clear" w:color="auto" w:fill="F2F2F2"/>
          </w:tcPr>
          <w:p>
            <w:pPr>
              <w:jc w:val="center"/>
            </w:pPr>
            <w:r>
              <w:rPr>
                <w:sz w:val="18"/>
              </w:rPr>
              <w:t>0.7088</w:t>
            </w:r>
          </w:p>
        </w:tc>
      </w:tr>
      <w:tr>
        <w:tc>
          <w:tcPr>
            <w:tcW w:type="dxa" w:w="2592"/>
            <w:shd w:val="clear" w:color="auto" w:fill="FFFFFF"/>
          </w:tcPr>
          <w:p>
            <w:pPr>
              <w:jc w:val="center"/>
            </w:pPr>
            <w:r>
              <w:rPr>
                <w:sz w:val="18"/>
              </w:rPr>
              <w:t>NR-Aromatase</w:t>
            </w:r>
          </w:p>
        </w:tc>
        <w:tc>
          <w:tcPr>
            <w:tcW w:type="dxa" w:w="1728"/>
            <w:shd w:val="clear" w:color="auto" w:fill="FFFFFF"/>
          </w:tcPr>
          <w:p>
            <w:pPr>
              <w:jc w:val="center"/>
            </w:pPr>
            <w:r>
              <w:rPr>
                <w:sz w:val="18"/>
              </w:rPr>
              <w:t>0.7824</w:t>
            </w:r>
          </w:p>
        </w:tc>
        <w:tc>
          <w:tcPr>
            <w:tcW w:type="dxa" w:w="1728"/>
            <w:shd w:val="clear" w:color="auto" w:fill="FFFFFF"/>
          </w:tcPr>
          <w:p>
            <w:pPr>
              <w:jc w:val="center"/>
            </w:pPr>
            <w:r>
              <w:rPr>
                <w:sz w:val="18"/>
              </w:rPr>
              <w:t>0.3858</w:t>
            </w:r>
          </w:p>
        </w:tc>
        <w:tc>
          <w:tcPr>
            <w:tcW w:type="dxa" w:w="2160"/>
            <w:shd w:val="clear" w:color="auto" w:fill="FFFFFF"/>
          </w:tcPr>
          <w:p>
            <w:pPr>
              <w:jc w:val="center"/>
            </w:pPr>
            <w:r>
              <w:rPr>
                <w:sz w:val="18"/>
              </w:rPr>
              <w:t>0.6164</w:t>
            </w:r>
          </w:p>
        </w:tc>
      </w:tr>
      <w:tr>
        <w:tc>
          <w:tcPr>
            <w:tcW w:type="dxa" w:w="2592"/>
            <w:shd w:val="clear" w:color="auto" w:fill="F2F2F2"/>
          </w:tcPr>
          <w:p>
            <w:pPr>
              <w:jc w:val="center"/>
            </w:pPr>
            <w:r>
              <w:rPr>
                <w:sz w:val="18"/>
              </w:rPr>
              <w:t>NR-ER</w:t>
            </w:r>
          </w:p>
        </w:tc>
        <w:tc>
          <w:tcPr>
            <w:tcW w:type="dxa" w:w="1728"/>
            <w:shd w:val="clear" w:color="auto" w:fill="F2F2F2"/>
          </w:tcPr>
          <w:p>
            <w:pPr>
              <w:jc w:val="center"/>
            </w:pPr>
            <w:r>
              <w:rPr>
                <w:sz w:val="18"/>
              </w:rPr>
              <w:t>0.7249</w:t>
            </w:r>
          </w:p>
        </w:tc>
        <w:tc>
          <w:tcPr>
            <w:tcW w:type="dxa" w:w="1728"/>
            <w:shd w:val="clear" w:color="auto" w:fill="F2F2F2"/>
          </w:tcPr>
          <w:p>
            <w:pPr>
              <w:jc w:val="center"/>
            </w:pPr>
            <w:r>
              <w:rPr>
                <w:sz w:val="18"/>
              </w:rPr>
              <w:t>0.4411</w:t>
            </w:r>
          </w:p>
        </w:tc>
        <w:tc>
          <w:tcPr>
            <w:tcW w:type="dxa" w:w="2160"/>
            <w:shd w:val="clear" w:color="auto" w:fill="F2F2F2"/>
          </w:tcPr>
          <w:p>
            <w:pPr>
              <w:jc w:val="center"/>
            </w:pPr>
            <w:r>
              <w:rPr>
                <w:sz w:val="18"/>
              </w:rPr>
              <w:t>0.6646</w:t>
            </w:r>
          </w:p>
        </w:tc>
      </w:tr>
      <w:tr>
        <w:tc>
          <w:tcPr>
            <w:tcW w:type="dxa" w:w="2592"/>
            <w:shd w:val="clear" w:color="auto" w:fill="FFFFFF"/>
          </w:tcPr>
          <w:p>
            <w:pPr>
              <w:jc w:val="center"/>
            </w:pPr>
            <w:r>
              <w:rPr>
                <w:sz w:val="18"/>
              </w:rPr>
              <w:t>NR-ER-LBD</w:t>
            </w:r>
          </w:p>
        </w:tc>
        <w:tc>
          <w:tcPr>
            <w:tcW w:type="dxa" w:w="1728"/>
            <w:shd w:val="clear" w:color="auto" w:fill="FFFFFF"/>
          </w:tcPr>
          <w:p>
            <w:pPr>
              <w:jc w:val="center"/>
            </w:pPr>
            <w:r>
              <w:rPr>
                <w:sz w:val="18"/>
              </w:rPr>
              <w:t>0.8837</w:t>
            </w:r>
          </w:p>
        </w:tc>
        <w:tc>
          <w:tcPr>
            <w:tcW w:type="dxa" w:w="1728"/>
            <w:shd w:val="clear" w:color="auto" w:fill="FFFFFF"/>
          </w:tcPr>
          <w:p>
            <w:pPr>
              <w:jc w:val="center"/>
            </w:pPr>
            <w:r>
              <w:rPr>
                <w:sz w:val="18"/>
              </w:rPr>
              <w:t>0.5668</w:t>
            </w:r>
          </w:p>
        </w:tc>
        <w:tc>
          <w:tcPr>
            <w:tcW w:type="dxa" w:w="2160"/>
            <w:shd w:val="clear" w:color="auto" w:fill="FFFFFF"/>
          </w:tcPr>
          <w:p>
            <w:pPr>
              <w:jc w:val="center"/>
            </w:pPr>
            <w:r>
              <w:rPr>
                <w:sz w:val="18"/>
              </w:rPr>
              <w:t>0.7510</w:t>
            </w:r>
          </w:p>
        </w:tc>
      </w:tr>
      <w:tr>
        <w:tc>
          <w:tcPr>
            <w:tcW w:type="dxa" w:w="2592"/>
            <w:shd w:val="clear" w:color="auto" w:fill="F2F2F2"/>
          </w:tcPr>
          <w:p>
            <w:pPr>
              <w:jc w:val="center"/>
            </w:pPr>
            <w:r>
              <w:rPr>
                <w:sz w:val="18"/>
              </w:rPr>
              <w:t>NR-PPAR-gamma</w:t>
            </w:r>
          </w:p>
        </w:tc>
        <w:tc>
          <w:tcPr>
            <w:tcW w:type="dxa" w:w="1728"/>
            <w:shd w:val="clear" w:color="auto" w:fill="F2F2F2"/>
          </w:tcPr>
          <w:p>
            <w:pPr>
              <w:jc w:val="center"/>
            </w:pPr>
            <w:r>
              <w:rPr>
                <w:sz w:val="18"/>
              </w:rPr>
              <w:t>0.9083</w:t>
            </w:r>
          </w:p>
        </w:tc>
        <w:tc>
          <w:tcPr>
            <w:tcW w:type="dxa" w:w="1728"/>
            <w:shd w:val="clear" w:color="auto" w:fill="F2F2F2"/>
          </w:tcPr>
          <w:p>
            <w:pPr>
              <w:jc w:val="center"/>
            </w:pPr>
            <w:r>
              <w:rPr>
                <w:sz w:val="18"/>
              </w:rPr>
              <w:t>0.5119</w:t>
            </w:r>
          </w:p>
        </w:tc>
        <w:tc>
          <w:tcPr>
            <w:tcW w:type="dxa" w:w="2160"/>
            <w:shd w:val="clear" w:color="auto" w:fill="F2F2F2"/>
          </w:tcPr>
          <w:p>
            <w:pPr>
              <w:jc w:val="center"/>
            </w:pPr>
            <w:r>
              <w:rPr>
                <w:sz w:val="18"/>
              </w:rPr>
              <w:t>0.7599</w:t>
            </w:r>
          </w:p>
        </w:tc>
      </w:tr>
      <w:tr>
        <w:tc>
          <w:tcPr>
            <w:tcW w:type="dxa" w:w="2592"/>
            <w:shd w:val="clear" w:color="auto" w:fill="FFFFFF"/>
          </w:tcPr>
          <w:p>
            <w:pPr>
              <w:jc w:val="center"/>
            </w:pPr>
            <w:r>
              <w:rPr>
                <w:sz w:val="18"/>
              </w:rPr>
              <w:t>SR-ARE</w:t>
            </w:r>
          </w:p>
        </w:tc>
        <w:tc>
          <w:tcPr>
            <w:tcW w:type="dxa" w:w="1728"/>
            <w:shd w:val="clear" w:color="auto" w:fill="FFFFFF"/>
          </w:tcPr>
          <w:p>
            <w:pPr>
              <w:jc w:val="center"/>
            </w:pPr>
            <w:r>
              <w:rPr>
                <w:sz w:val="18"/>
              </w:rPr>
              <w:t>0.8154</w:t>
            </w:r>
          </w:p>
        </w:tc>
        <w:tc>
          <w:tcPr>
            <w:tcW w:type="dxa" w:w="1728"/>
            <w:shd w:val="clear" w:color="auto" w:fill="FFFFFF"/>
          </w:tcPr>
          <w:p>
            <w:pPr>
              <w:jc w:val="center"/>
            </w:pPr>
            <w:r>
              <w:rPr>
                <w:sz w:val="18"/>
              </w:rPr>
              <w:t>0.5319</w:t>
            </w:r>
          </w:p>
        </w:tc>
        <w:tc>
          <w:tcPr>
            <w:tcW w:type="dxa" w:w="2160"/>
            <w:shd w:val="clear" w:color="auto" w:fill="FFFFFF"/>
          </w:tcPr>
          <w:p>
            <w:pPr>
              <w:jc w:val="center"/>
            </w:pPr>
            <w:r>
              <w:rPr>
                <w:sz w:val="18"/>
              </w:rPr>
              <w:t>0.6984</w:t>
            </w:r>
          </w:p>
        </w:tc>
      </w:tr>
      <w:tr>
        <w:tc>
          <w:tcPr>
            <w:tcW w:type="dxa" w:w="2592"/>
            <w:shd w:val="clear" w:color="auto" w:fill="F2F2F2"/>
          </w:tcPr>
          <w:p>
            <w:pPr>
              <w:jc w:val="center"/>
            </w:pPr>
            <w:r>
              <w:rPr>
                <w:sz w:val="18"/>
              </w:rPr>
              <w:t>SR-ATAD5</w:t>
            </w:r>
          </w:p>
        </w:tc>
        <w:tc>
          <w:tcPr>
            <w:tcW w:type="dxa" w:w="1728"/>
            <w:shd w:val="clear" w:color="auto" w:fill="F2F2F2"/>
          </w:tcPr>
          <w:p>
            <w:pPr>
              <w:jc w:val="center"/>
            </w:pPr>
            <w:r>
              <w:rPr>
                <w:sz w:val="18"/>
              </w:rPr>
              <w:t>0.8622</w:t>
            </w:r>
          </w:p>
        </w:tc>
        <w:tc>
          <w:tcPr>
            <w:tcW w:type="dxa" w:w="1728"/>
            <w:shd w:val="clear" w:color="auto" w:fill="F2F2F2"/>
          </w:tcPr>
          <w:p>
            <w:pPr>
              <w:jc w:val="center"/>
            </w:pPr>
            <w:r>
              <w:rPr>
                <w:sz w:val="18"/>
              </w:rPr>
              <w:t>0.4755</w:t>
            </w:r>
          </w:p>
        </w:tc>
        <w:tc>
          <w:tcPr>
            <w:tcW w:type="dxa" w:w="2160"/>
            <w:shd w:val="clear" w:color="auto" w:fill="F2F2F2"/>
          </w:tcPr>
          <w:p>
            <w:pPr>
              <w:jc w:val="center"/>
            </w:pPr>
            <w:r>
              <w:rPr>
                <w:sz w:val="18"/>
              </w:rPr>
              <w:t>0.7071</w:t>
            </w:r>
          </w:p>
        </w:tc>
      </w:tr>
      <w:tr>
        <w:tc>
          <w:tcPr>
            <w:tcW w:type="dxa" w:w="2592"/>
            <w:shd w:val="clear" w:color="auto" w:fill="FFFFFF"/>
          </w:tcPr>
          <w:p>
            <w:pPr>
              <w:jc w:val="center"/>
            </w:pPr>
            <w:r>
              <w:rPr>
                <w:sz w:val="18"/>
              </w:rPr>
              <w:t>SR-HSE</w:t>
            </w:r>
          </w:p>
        </w:tc>
        <w:tc>
          <w:tcPr>
            <w:tcW w:type="dxa" w:w="1728"/>
            <w:shd w:val="clear" w:color="auto" w:fill="FFFFFF"/>
          </w:tcPr>
          <w:p>
            <w:pPr>
              <w:jc w:val="center"/>
            </w:pPr>
            <w:r>
              <w:rPr>
                <w:sz w:val="18"/>
              </w:rPr>
              <w:t>0.6895</w:t>
            </w:r>
          </w:p>
        </w:tc>
        <w:tc>
          <w:tcPr>
            <w:tcW w:type="dxa" w:w="1728"/>
            <w:shd w:val="clear" w:color="auto" w:fill="FFFFFF"/>
          </w:tcPr>
          <w:p>
            <w:pPr>
              <w:jc w:val="center"/>
            </w:pPr>
            <w:r>
              <w:rPr>
                <w:sz w:val="18"/>
              </w:rPr>
              <w:t>0.3192</w:t>
            </w:r>
          </w:p>
        </w:tc>
        <w:tc>
          <w:tcPr>
            <w:tcW w:type="dxa" w:w="2160"/>
            <w:shd w:val="clear" w:color="auto" w:fill="FFFFFF"/>
          </w:tcPr>
          <w:p>
            <w:pPr>
              <w:jc w:val="center"/>
            </w:pPr>
            <w:r>
              <w:rPr>
                <w:sz w:val="18"/>
              </w:rPr>
              <w:t>0.6039</w:t>
            </w:r>
          </w:p>
        </w:tc>
      </w:tr>
      <w:tr>
        <w:tc>
          <w:tcPr>
            <w:tcW w:type="dxa" w:w="2592"/>
            <w:shd w:val="clear" w:color="auto" w:fill="F2F2F2"/>
          </w:tcPr>
          <w:p>
            <w:pPr>
              <w:jc w:val="center"/>
            </w:pPr>
            <w:r>
              <w:rPr>
                <w:sz w:val="18"/>
              </w:rPr>
              <w:t>SR-MMP</w:t>
            </w:r>
          </w:p>
        </w:tc>
        <w:tc>
          <w:tcPr>
            <w:tcW w:type="dxa" w:w="1728"/>
            <w:shd w:val="clear" w:color="auto" w:fill="F2F2F2"/>
          </w:tcPr>
          <w:p>
            <w:pPr>
              <w:jc w:val="center"/>
            </w:pPr>
            <w:r>
              <w:rPr>
                <w:sz w:val="18"/>
              </w:rPr>
              <w:t>0.8719</w:t>
            </w:r>
          </w:p>
        </w:tc>
        <w:tc>
          <w:tcPr>
            <w:tcW w:type="dxa" w:w="1728"/>
            <w:shd w:val="clear" w:color="auto" w:fill="F2F2F2"/>
          </w:tcPr>
          <w:p>
            <w:pPr>
              <w:jc w:val="center"/>
            </w:pPr>
            <w:r>
              <w:rPr>
                <w:sz w:val="18"/>
              </w:rPr>
              <w:t>0.6375</w:t>
            </w:r>
          </w:p>
        </w:tc>
        <w:tc>
          <w:tcPr>
            <w:tcW w:type="dxa" w:w="2160"/>
            <w:shd w:val="clear" w:color="auto" w:fill="F2F2F2"/>
          </w:tcPr>
          <w:p>
            <w:pPr>
              <w:jc w:val="center"/>
            </w:pPr>
            <w:r>
              <w:rPr>
                <w:sz w:val="18"/>
              </w:rPr>
              <w:t>0.7819</w:t>
            </w:r>
          </w:p>
        </w:tc>
      </w:tr>
      <w:tr>
        <w:tc>
          <w:tcPr>
            <w:tcW w:type="dxa" w:w="2592"/>
            <w:shd w:val="clear" w:color="auto" w:fill="FFFFFF"/>
          </w:tcPr>
          <w:p>
            <w:pPr>
              <w:jc w:val="center"/>
            </w:pPr>
            <w:r>
              <w:rPr>
                <w:sz w:val="18"/>
              </w:rPr>
              <w:t>SR-p53</w:t>
            </w:r>
          </w:p>
        </w:tc>
        <w:tc>
          <w:tcPr>
            <w:tcW w:type="dxa" w:w="1728"/>
            <w:shd w:val="clear" w:color="auto" w:fill="FFFFFF"/>
          </w:tcPr>
          <w:p>
            <w:pPr>
              <w:jc w:val="center"/>
            </w:pPr>
            <w:r>
              <w:rPr>
                <w:sz w:val="18"/>
              </w:rPr>
              <w:t>0.7948</w:t>
            </w:r>
          </w:p>
        </w:tc>
        <w:tc>
          <w:tcPr>
            <w:tcW w:type="dxa" w:w="1728"/>
            <w:shd w:val="clear" w:color="auto" w:fill="FFFFFF"/>
          </w:tcPr>
          <w:p>
            <w:pPr>
              <w:jc w:val="center"/>
            </w:pPr>
            <w:r>
              <w:rPr>
                <w:sz w:val="18"/>
              </w:rPr>
              <w:t>0.2969</w:t>
            </w:r>
          </w:p>
        </w:tc>
        <w:tc>
          <w:tcPr>
            <w:tcW w:type="dxa" w:w="2160"/>
            <w:shd w:val="clear" w:color="auto" w:fill="FFFFFF"/>
          </w:tcPr>
          <w:p>
            <w:pPr>
              <w:jc w:val="center"/>
            </w:pPr>
            <w:r>
              <w:rPr>
                <w:sz w:val="18"/>
              </w:rPr>
              <w:t>0.5803</w:t>
            </w:r>
          </w:p>
        </w:tc>
      </w:tr>
      <w:tr>
        <w:tc>
          <w:tcPr>
            <w:tcW w:type="dxa" w:w="2592"/>
            <w:shd w:val="clear" w:color="auto" w:fill="F2F2F2"/>
          </w:tcPr>
          <w:p>
            <w:pPr>
              <w:jc w:val="center"/>
            </w:pPr>
            <w:r>
              <w:rPr>
                <w:b/>
                <w:sz w:val="18"/>
              </w:rPr>
              <w:t>Mean</w:t>
            </w:r>
          </w:p>
        </w:tc>
        <w:tc>
          <w:tcPr>
            <w:tcW w:type="dxa" w:w="1728"/>
            <w:shd w:val="clear" w:color="auto" w:fill="F2F2F2"/>
          </w:tcPr>
          <w:p>
            <w:pPr>
              <w:jc w:val="center"/>
            </w:pPr>
            <w:r>
              <w:rPr>
                <w:sz w:val="18"/>
              </w:rPr>
              <w:t>0.8211</w:t>
            </w:r>
          </w:p>
        </w:tc>
        <w:tc>
          <w:tcPr>
            <w:tcW w:type="dxa" w:w="1728"/>
            <w:shd w:val="clear" w:color="auto" w:fill="F2F2F2"/>
          </w:tcPr>
          <w:p>
            <w:pPr>
              <w:jc w:val="center"/>
            </w:pPr>
            <w:r>
              <w:rPr>
                <w:sz w:val="18"/>
              </w:rPr>
              <w:t>0.4950</w:t>
            </w:r>
          </w:p>
        </w:tc>
        <w:tc>
          <w:tcPr>
            <w:tcW w:type="dxa" w:w="2160"/>
            <w:shd w:val="clear" w:color="auto" w:fill="F2F2F2"/>
          </w:tcPr>
          <w:p>
            <w:pPr>
              <w:jc w:val="center"/>
            </w:pPr>
            <w:r>
              <w:rPr>
                <w:sz w:val="18"/>
              </w:rPr>
              <w:t>0.6902</w:t>
            </w:r>
          </w:p>
        </w:tc>
      </w:tr>
    </w:tbl>
    <w:p/>
    <w:p>
      <w:pPr>
        <w:spacing w:before="240" w:after="80"/>
      </w:pPr>
      <w:r>
        <w:rPr>
          <w:b/>
          <w:color w:val="2E74B5"/>
          <w:sz w:val="26"/>
        </w:rPr>
        <w:t>Key Results Summary</w:t>
      </w:r>
    </w:p>
    <w:tbl>
      <w:tblPr>
        <w:tblStyle w:val="TableGrid"/>
        <w:tblW w:type="auto" w:w="0"/>
        <w:jc w:val="left"/>
        <w:tblLook w:firstColumn="1" w:firstRow="1" w:lastColumn="0" w:lastRow="0" w:noHBand="0" w:noVBand="1" w:val="04A0"/>
      </w:tblPr>
      <w:tblGrid>
        <w:gridCol w:w="3135"/>
        <w:gridCol w:w="3135"/>
        <w:gridCol w:w="3135"/>
      </w:tblGrid>
      <w:tr>
        <w:tc>
          <w:tcPr>
            <w:tcW w:type="dxa" w:w="4032"/>
            <w:shd w:val="clear" w:color="auto" w:fill="1F497D"/>
          </w:tcPr>
          <w:p>
            <w:pPr>
              <w:jc w:val="center"/>
            </w:pPr>
            <w:r>
              <w:rPr>
                <w:b/>
                <w:color w:val="FFFFFF"/>
                <w:sz w:val="19"/>
              </w:rPr>
              <w:t>Criterion</w:t>
            </w:r>
          </w:p>
        </w:tc>
        <w:tc>
          <w:tcPr>
            <w:tcW w:type="dxa" w:w="1728"/>
            <w:shd w:val="clear" w:color="auto" w:fill="1F497D"/>
          </w:tcPr>
          <w:p>
            <w:pPr>
              <w:jc w:val="center"/>
            </w:pPr>
            <w:r>
              <w:rPr>
                <w:b/>
                <w:color w:val="FFFFFF"/>
                <w:sz w:val="19"/>
              </w:rPr>
              <w:t>Target</w:t>
            </w:r>
          </w:p>
        </w:tc>
        <w:tc>
          <w:tcPr>
            <w:tcW w:type="dxa" w:w="3600"/>
            <w:shd w:val="clear" w:color="auto" w:fill="1F497D"/>
          </w:tcPr>
          <w:p>
            <w:pPr>
              <w:jc w:val="center"/>
            </w:pPr>
            <w:r>
              <w:rPr>
                <w:b/>
                <w:color w:val="FFFFFF"/>
                <w:sz w:val="19"/>
              </w:rPr>
              <w:t>Achieved</w:t>
            </w:r>
          </w:p>
        </w:tc>
      </w:tr>
      <w:tr>
        <w:tc>
          <w:tcPr>
            <w:tcW w:type="dxa" w:w="4032"/>
            <w:shd w:val="clear" w:color="auto" w:fill="F2F2F2"/>
          </w:tcPr>
          <w:p>
            <w:pPr>
              <w:jc w:val="center"/>
            </w:pPr>
            <w:r>
              <w:rPr>
                <w:sz w:val="18"/>
              </w:rPr>
              <w:t>Endpoints with AUROC &gt; 0.65</w:t>
            </w:r>
          </w:p>
        </w:tc>
        <w:tc>
          <w:tcPr>
            <w:tcW w:type="dxa" w:w="1728"/>
            <w:shd w:val="clear" w:color="auto" w:fill="F2F2F2"/>
          </w:tcPr>
          <w:p>
            <w:pPr>
              <w:jc w:val="center"/>
            </w:pPr>
            <w:r>
              <w:rPr>
                <w:sz w:val="18"/>
              </w:rPr>
              <w:t>&gt;= 8 of 12</w:t>
            </w:r>
          </w:p>
        </w:tc>
        <w:tc>
          <w:tcPr>
            <w:tcW w:type="dxa" w:w="3600"/>
            <w:shd w:val="clear" w:color="auto" w:fill="F2F2F2"/>
          </w:tcPr>
          <w:p>
            <w:pPr>
              <w:jc w:val="center"/>
            </w:pPr>
            <w:r>
              <w:rPr>
                <w:sz w:val="18"/>
              </w:rPr>
              <w:t>12 of 12  ✓</w:t>
            </w:r>
          </w:p>
        </w:tc>
      </w:tr>
      <w:tr>
        <w:tc>
          <w:tcPr>
            <w:tcW w:type="dxa" w:w="4032"/>
            <w:shd w:val="clear" w:color="auto" w:fill="FFFFFF"/>
          </w:tcPr>
          <w:p>
            <w:pPr>
              <w:jc w:val="center"/>
            </w:pPr>
            <w:r>
              <w:rPr>
                <w:b/>
                <w:sz w:val="18"/>
              </w:rPr>
              <w:t>Mean Val AUROC</w:t>
            </w:r>
          </w:p>
        </w:tc>
        <w:tc>
          <w:tcPr>
            <w:tcW w:type="dxa" w:w="1728"/>
            <w:shd w:val="clear" w:color="auto" w:fill="FFFFFF"/>
          </w:tcPr>
          <w:p>
            <w:pPr>
              <w:jc w:val="center"/>
            </w:pPr>
            <w:r>
              <w:rPr>
                <w:sz w:val="18"/>
              </w:rPr>
              <w:t>—</w:t>
            </w:r>
          </w:p>
        </w:tc>
        <w:tc>
          <w:tcPr>
            <w:tcW w:type="dxa" w:w="3600"/>
            <w:shd w:val="clear" w:color="auto" w:fill="FFFFFF"/>
          </w:tcPr>
          <w:p>
            <w:pPr>
              <w:jc w:val="center"/>
            </w:pPr>
            <w:r>
              <w:rPr>
                <w:sz w:val="18"/>
              </w:rPr>
              <w:t>0.793</w:t>
            </w:r>
          </w:p>
        </w:tc>
      </w:tr>
      <w:tr>
        <w:tc>
          <w:tcPr>
            <w:tcW w:type="dxa" w:w="4032"/>
            <w:shd w:val="clear" w:color="auto" w:fill="F2F2F2"/>
          </w:tcPr>
          <w:p>
            <w:pPr>
              <w:jc w:val="center"/>
            </w:pPr>
            <w:r>
              <w:rPr>
                <w:b/>
                <w:sz w:val="18"/>
              </w:rPr>
              <w:t>Mean Test AUROC</w:t>
            </w:r>
          </w:p>
        </w:tc>
        <w:tc>
          <w:tcPr>
            <w:tcW w:type="dxa" w:w="1728"/>
            <w:shd w:val="clear" w:color="auto" w:fill="F2F2F2"/>
          </w:tcPr>
          <w:p>
            <w:pPr>
              <w:jc w:val="center"/>
            </w:pPr>
            <w:r>
              <w:rPr>
                <w:sz w:val="18"/>
              </w:rPr>
              <w:t>—</w:t>
            </w:r>
          </w:p>
        </w:tc>
        <w:tc>
          <w:tcPr>
            <w:tcW w:type="dxa" w:w="3600"/>
            <w:shd w:val="clear" w:color="auto" w:fill="F2F2F2"/>
          </w:tcPr>
          <w:p>
            <w:pPr>
              <w:jc w:val="center"/>
            </w:pPr>
            <w:r>
              <w:rPr>
                <w:sz w:val="18"/>
              </w:rPr>
              <w:t>0.821</w:t>
            </w:r>
          </w:p>
        </w:tc>
      </w:tr>
      <w:tr>
        <w:tc>
          <w:tcPr>
            <w:tcW w:type="dxa" w:w="4032"/>
            <w:shd w:val="clear" w:color="auto" w:fill="FFFFFF"/>
          </w:tcPr>
          <w:p>
            <w:pPr>
              <w:jc w:val="center"/>
            </w:pPr>
            <w:r>
              <w:rPr>
                <w:sz w:val="18"/>
              </w:rPr>
              <w:t>Best endpoint (Test AUROC)</w:t>
            </w:r>
          </w:p>
        </w:tc>
        <w:tc>
          <w:tcPr>
            <w:tcW w:type="dxa" w:w="1728"/>
            <w:shd w:val="clear" w:color="auto" w:fill="FFFFFF"/>
          </w:tcPr>
          <w:p>
            <w:pPr>
              <w:jc w:val="center"/>
            </w:pPr>
            <w:r>
              <w:rPr>
                <w:sz w:val="18"/>
              </w:rPr>
              <w:t>—</w:t>
            </w:r>
          </w:p>
        </w:tc>
        <w:tc>
          <w:tcPr>
            <w:tcW w:type="dxa" w:w="3600"/>
            <w:shd w:val="clear" w:color="auto" w:fill="FFFFFF"/>
          </w:tcPr>
          <w:p>
            <w:pPr>
              <w:jc w:val="center"/>
            </w:pPr>
            <w:r>
              <w:rPr>
                <w:sz w:val="18"/>
              </w:rPr>
              <w:t>NR-PPAR-gamma (0.908)</w:t>
            </w:r>
          </w:p>
        </w:tc>
      </w:tr>
      <w:tr>
        <w:tc>
          <w:tcPr>
            <w:tcW w:type="dxa" w:w="4032"/>
            <w:shd w:val="clear" w:color="auto" w:fill="F2F2F2"/>
          </w:tcPr>
          <w:p>
            <w:pPr>
              <w:jc w:val="center"/>
            </w:pPr>
            <w:r>
              <w:rPr>
                <w:sz w:val="18"/>
              </w:rPr>
              <w:t>Weakest endpoint (Test AUROC)</w:t>
            </w:r>
          </w:p>
        </w:tc>
        <w:tc>
          <w:tcPr>
            <w:tcW w:type="dxa" w:w="1728"/>
            <w:shd w:val="clear" w:color="auto" w:fill="F2F2F2"/>
          </w:tcPr>
          <w:p>
            <w:pPr>
              <w:jc w:val="center"/>
            </w:pPr>
            <w:r>
              <w:rPr>
                <w:sz w:val="18"/>
              </w:rPr>
              <w:t>—</w:t>
            </w:r>
          </w:p>
        </w:tc>
        <w:tc>
          <w:tcPr>
            <w:tcW w:type="dxa" w:w="3600"/>
            <w:shd w:val="clear" w:color="auto" w:fill="F2F2F2"/>
          </w:tcPr>
          <w:p>
            <w:pPr>
              <w:jc w:val="center"/>
            </w:pPr>
            <w:r>
              <w:rPr>
                <w:sz w:val="18"/>
              </w:rPr>
              <w:t>SR-HSE (0.690)</w:t>
            </w:r>
          </w:p>
        </w:tc>
      </w:tr>
    </w:tbl>
    <w:p/>
    <w:p>
      <w:pPr>
        <w:spacing w:after="80"/>
      </w:pPr>
      <w:r>
        <w:rPr>
          <w:sz w:val="21"/>
        </w:rPr>
        <w:t xml:space="preserve">The model </w:t>
      </w:r>
      <w:r>
        <w:rPr>
          <w:b/>
          <w:sz w:val="21"/>
        </w:rPr>
        <w:t>meets and exceeds the success criterion:</w:t>
      </w:r>
      <w:r>
        <w:rPr>
          <w:sz w:val="21"/>
        </w:rPr>
        <w:t xml:space="preserve"> all 12 endpoints surpass AUROC 0.65, and test AUROC (0.821) is slightly higher than validation AUROC (0.793), indicating stable generalisation without overfitting.</w:t>
      </w:r>
    </w:p>
    <w:p>
      <w:pPr>
        <w:spacing w:before="240" w:after="80"/>
      </w:pPr>
      <w:r>
        <w:rPr>
          <w:b/>
          <w:color w:val="2E74B5"/>
          <w:sz w:val="26"/>
        </w:rPr>
        <w:t>Example Predictions on Known Compounds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val="clear" w:color="auto" w:fill="1F497D"/>
          </w:tcPr>
          <w:p>
            <w:pPr>
              <w:jc w:val="center"/>
            </w:pPr>
            <w:r>
              <w:rPr>
                <w:b/>
                <w:color w:val="FFFFFF"/>
                <w:sz w:val="19"/>
              </w:rPr>
              <w:t>Compound</w:t>
            </w:r>
          </w:p>
        </w:tc>
        <w:tc>
          <w:tcPr>
            <w:tcW w:type="dxa" w:w="3168"/>
            <w:shd w:val="clear" w:color="auto" w:fill="1F497D"/>
          </w:tcPr>
          <w:p>
            <w:pPr>
              <w:jc w:val="center"/>
            </w:pPr>
            <w:r>
              <w:rPr>
                <w:b/>
                <w:color w:val="FFFFFF"/>
                <w:sz w:val="19"/>
              </w:rPr>
              <w:t>SMILES</w:t>
            </w:r>
          </w:p>
        </w:tc>
        <w:tc>
          <w:tcPr>
            <w:tcW w:type="dxa" w:w="2160"/>
            <w:shd w:val="clear" w:color="auto" w:fill="1F497D"/>
          </w:tcPr>
          <w:p>
            <w:pPr>
              <w:jc w:val="center"/>
            </w:pPr>
            <w:r>
              <w:rPr>
                <w:b/>
                <w:color w:val="FFFFFF"/>
                <w:sz w:val="19"/>
              </w:rPr>
              <w:t>NR-AhR</w:t>
            </w:r>
          </w:p>
        </w:tc>
        <w:tc>
          <w:tcPr>
            <w:tcW w:type="dxa" w:w="2160"/>
            <w:shd w:val="clear" w:color="auto" w:fill="1F497D"/>
          </w:tcPr>
          <w:p>
            <w:pPr>
              <w:jc w:val="center"/>
            </w:pPr>
            <w:r>
              <w:rPr>
                <w:b/>
                <w:color w:val="FFFFFF"/>
                <w:sz w:val="19"/>
              </w:rPr>
              <w:t>NR-ER</w:t>
            </w:r>
          </w:p>
        </w:tc>
        <w:tc>
          <w:tcPr>
            <w:tcW w:type="dxa" w:w="2160"/>
            <w:shd w:val="clear" w:color="auto" w:fill="1F497D"/>
          </w:tcPr>
          <w:p>
            <w:pPr>
              <w:jc w:val="center"/>
            </w:pPr>
            <w:r>
              <w:rPr>
                <w:b/>
                <w:color w:val="FFFFFF"/>
                <w:sz w:val="19"/>
              </w:rPr>
              <w:t>SR-MMP</w:t>
            </w:r>
          </w:p>
        </w:tc>
      </w:tr>
      <w:tr>
        <w:tc>
          <w:tcPr>
            <w:tcW w:type="dxa" w:w="1872"/>
            <w:shd w:val="clear" w:color="auto" w:fill="F2F2F2"/>
          </w:tcPr>
          <w:p>
            <w:pPr>
              <w:jc w:val="center"/>
            </w:pPr>
            <w:r>
              <w:rPr>
                <w:sz w:val="18"/>
              </w:rPr>
              <w:t>Ethanol</w:t>
            </w:r>
          </w:p>
        </w:tc>
        <w:tc>
          <w:tcPr>
            <w:tcW w:type="dxa" w:w="3168"/>
            <w:shd w:val="clear" w:color="auto" w:fill="F2F2F2"/>
          </w:tcPr>
          <w:p>
            <w:pPr>
              <w:jc w:val="center"/>
            </w:pPr>
            <w:r>
              <w:rPr>
                <w:sz w:val="18"/>
              </w:rPr>
              <w:t>CCO</w:t>
            </w:r>
          </w:p>
        </w:tc>
        <w:tc>
          <w:tcPr>
            <w:tcW w:type="dxa" w:w="2160"/>
            <w:shd w:val="clear" w:color="auto" w:fill="F2F2F2"/>
          </w:tcPr>
          <w:p>
            <w:pPr>
              <w:jc w:val="center"/>
            </w:pPr>
            <w:r>
              <w:rPr>
                <w:sz w:val="18"/>
              </w:rPr>
              <w:t>non-toxic (0.09)</w:t>
            </w:r>
          </w:p>
        </w:tc>
        <w:tc>
          <w:tcPr>
            <w:tcW w:type="dxa" w:w="2160"/>
            <w:shd w:val="clear" w:color="auto" w:fill="F2F2F2"/>
          </w:tcPr>
          <w:p>
            <w:pPr>
              <w:jc w:val="center"/>
            </w:pPr>
            <w:r>
              <w:rPr>
                <w:sz w:val="18"/>
              </w:rPr>
              <w:t>non-toxic (0.26)</w:t>
            </w:r>
          </w:p>
        </w:tc>
        <w:tc>
          <w:tcPr>
            <w:tcW w:type="dxa" w:w="2160"/>
            <w:shd w:val="clear" w:color="auto" w:fill="F2F2F2"/>
          </w:tcPr>
          <w:p>
            <w:pPr>
              <w:jc w:val="center"/>
            </w:pPr>
            <w:r>
              <w:rPr>
                <w:sz w:val="18"/>
              </w:rPr>
              <w:t>non-toxic (0.11)</w:t>
            </w:r>
          </w:p>
        </w:tc>
      </w:tr>
      <w:tr>
        <w:tc>
          <w:tcPr>
            <w:tcW w:type="dxa" w:w="1872"/>
            <w:shd w:val="clear" w:color="auto" w:fill="FFFFFF"/>
          </w:tcPr>
          <w:p>
            <w:pPr>
              <w:jc w:val="center"/>
            </w:pPr>
            <w:r>
              <w:rPr>
                <w:sz w:val="18"/>
              </w:rPr>
              <w:t>Benzene</w:t>
            </w:r>
          </w:p>
        </w:tc>
        <w:tc>
          <w:tcPr>
            <w:tcW w:type="dxa" w:w="3168"/>
            <w:shd w:val="clear" w:color="auto" w:fill="FFFFFF"/>
          </w:tcPr>
          <w:p>
            <w:pPr>
              <w:jc w:val="center"/>
            </w:pPr>
            <w:r>
              <w:rPr>
                <w:sz w:val="18"/>
              </w:rPr>
              <w:t>c1ccccc1</w:t>
            </w:r>
          </w:p>
        </w:tc>
        <w:tc>
          <w:tcPr>
            <w:tcW w:type="dxa" w:w="2160"/>
            <w:shd w:val="clear" w:color="auto" w:fill="FFFFFF"/>
          </w:tcPr>
          <w:p>
            <w:pPr>
              <w:jc w:val="center"/>
            </w:pPr>
            <w:r>
              <w:rPr>
                <w:sz w:val="18"/>
              </w:rPr>
              <w:t>non-toxic (0.20)</w:t>
            </w:r>
          </w:p>
        </w:tc>
        <w:tc>
          <w:tcPr>
            <w:tcW w:type="dxa" w:w="2160"/>
            <w:shd w:val="clear" w:color="auto" w:fill="FFFFFF"/>
          </w:tcPr>
          <w:p>
            <w:pPr>
              <w:jc w:val="center"/>
            </w:pPr>
            <w:r>
              <w:rPr>
                <w:sz w:val="18"/>
              </w:rPr>
              <w:t>non-toxic (0.34)</w:t>
            </w:r>
          </w:p>
        </w:tc>
        <w:tc>
          <w:tcPr>
            <w:tcW w:type="dxa" w:w="2160"/>
            <w:shd w:val="clear" w:color="auto" w:fill="FFFFFF"/>
          </w:tcPr>
          <w:p>
            <w:pPr>
              <w:jc w:val="center"/>
            </w:pPr>
            <w:r>
              <w:rPr>
                <w:sz w:val="18"/>
              </w:rPr>
              <w:t>non-toxic (0.25)</w:t>
            </w:r>
          </w:p>
        </w:tc>
      </w:tr>
      <w:tr>
        <w:tc>
          <w:tcPr>
            <w:tcW w:type="dxa" w:w="1872"/>
            <w:shd w:val="clear" w:color="auto" w:fill="F2F2F2"/>
          </w:tcPr>
          <w:p>
            <w:pPr>
              <w:jc w:val="center"/>
            </w:pPr>
            <w:r>
              <w:rPr>
                <w:sz w:val="18"/>
              </w:rPr>
              <w:t>Benzocaine</w:t>
            </w:r>
          </w:p>
        </w:tc>
        <w:tc>
          <w:tcPr>
            <w:tcW w:type="dxa" w:w="3168"/>
            <w:shd w:val="clear" w:color="auto" w:fill="F2F2F2"/>
          </w:tcPr>
          <w:p>
            <w:pPr>
              <w:jc w:val="center"/>
            </w:pPr>
            <w:r>
              <w:rPr>
                <w:sz w:val="18"/>
              </w:rPr>
              <w:t>CCOC(=O)c1ccc(N)cc1</w:t>
            </w:r>
          </w:p>
        </w:tc>
        <w:tc>
          <w:tcPr>
            <w:tcW w:type="dxa" w:w="2160"/>
            <w:shd w:val="clear" w:color="auto" w:fill="F2F2F2"/>
          </w:tcPr>
          <w:p>
            <w:pPr>
              <w:jc w:val="center"/>
            </w:pPr>
            <w:r>
              <w:rPr>
                <w:sz w:val="18"/>
              </w:rPr>
              <w:t>TOXIC (0.59)</w:t>
            </w:r>
          </w:p>
        </w:tc>
        <w:tc>
          <w:tcPr>
            <w:tcW w:type="dxa" w:w="2160"/>
            <w:shd w:val="clear" w:color="auto" w:fill="F2F2F2"/>
          </w:tcPr>
          <w:p>
            <w:pPr>
              <w:jc w:val="center"/>
            </w:pPr>
            <w:r>
              <w:rPr>
                <w:sz w:val="18"/>
              </w:rPr>
              <w:t>TOXIC (0.51)</w:t>
            </w:r>
          </w:p>
        </w:tc>
        <w:tc>
          <w:tcPr>
            <w:tcW w:type="dxa" w:w="2160"/>
            <w:shd w:val="clear" w:color="auto" w:fill="F2F2F2"/>
          </w:tcPr>
          <w:p>
            <w:pPr>
              <w:jc w:val="center"/>
            </w:pPr>
            <w:r>
              <w:rPr>
                <w:sz w:val="18"/>
              </w:rPr>
              <w:t>non-toxic (0.29)</w:t>
            </w:r>
          </w:p>
        </w:tc>
      </w:tr>
    </w:tbl>
    <w:p/>
    <w:p>
      <w:pPr>
        <w:spacing w:before="360" w:after="120"/>
        <w:pBdr>
          <w:bottom w:val="single" w:sz="6" w:space="1" w:color="2E74B5"/>
        </w:pBdr>
      </w:pPr>
      <w:r>
        <w:rPr>
          <w:b/>
          <w:color w:val="1F497D"/>
          <w:sz w:val="36"/>
        </w:rPr>
        <w:t>8. Outputs &amp; Graphs</w:t>
      </w:r>
    </w:p>
    <w:p>
      <w:pPr>
        <w:spacing w:before="240" w:after="80"/>
      </w:pPr>
      <w:r>
        <w:rPr>
          <w:b/>
          <w:color w:val="2E74B5"/>
          <w:sz w:val="26"/>
        </w:rPr>
        <w:t>File Inventory</w:t>
      </w:r>
    </w:p>
    <w:tbl>
      <w:tblPr>
        <w:tblStyle w:val="TableGrid"/>
        <w:tblW w:type="auto" w:w="0"/>
        <w:jc w:val="left"/>
        <w:tblLook w:firstColumn="1" w:firstRow="1" w:lastColumn="0" w:lastRow="0" w:noHBand="0" w:noVBand="1" w:val="04A0"/>
      </w:tblPr>
      <w:tblGrid>
        <w:gridCol w:w="3135"/>
        <w:gridCol w:w="3135"/>
        <w:gridCol w:w="3135"/>
      </w:tblGrid>
      <w:tr>
        <w:tc>
          <w:tcPr>
            <w:tcW w:type="dxa" w:w="4320"/>
            <w:shd w:val="clear" w:color="auto" w:fill="1F497D"/>
          </w:tcPr>
          <w:p>
            <w:pPr>
              <w:jc w:val="center"/>
            </w:pPr>
            <w:r>
              <w:rPr>
                <w:b/>
                <w:color w:val="FFFFFF"/>
                <w:sz w:val="19"/>
              </w:rPr>
              <w:t>File</w:t>
            </w:r>
          </w:p>
        </w:tc>
        <w:tc>
          <w:tcPr>
            <w:tcW w:type="dxa" w:w="4032"/>
            <w:shd w:val="clear" w:color="auto" w:fill="1F497D"/>
          </w:tcPr>
          <w:p>
            <w:pPr>
              <w:jc w:val="center"/>
            </w:pPr>
            <w:r>
              <w:rPr>
                <w:b/>
                <w:color w:val="FFFFFF"/>
                <w:sz w:val="19"/>
              </w:rPr>
              <w:t>Description</w:t>
            </w:r>
          </w:p>
        </w:tc>
        <w:tc>
          <w:tcPr>
            <w:tcW w:type="dxa" w:w="1008"/>
            <w:shd w:val="clear" w:color="auto" w:fill="1F497D"/>
          </w:tcPr>
          <w:p>
            <w:pPr>
              <w:jc w:val="center"/>
            </w:pPr>
            <w:r>
              <w:rPr>
                <w:b/>
                <w:color w:val="FFFFFF"/>
                <w:sz w:val="19"/>
              </w:rPr>
              <w:t>Size</w:t>
            </w:r>
          </w:p>
        </w:tc>
      </w:tr>
      <w:tr>
        <w:tc>
          <w:tcPr>
            <w:tcW w:type="dxa" w:w="4320"/>
            <w:shd w:val="clear" w:color="auto" w:fill="F2F2F2"/>
          </w:tcPr>
          <w:p>
            <w:pPr>
              <w:jc w:val="center"/>
            </w:pPr>
            <w:r>
              <w:rPr>
                <w:sz w:val="18"/>
              </w:rPr>
              <w:t>results/metrics_validation.csv</w:t>
            </w:r>
          </w:p>
        </w:tc>
        <w:tc>
          <w:tcPr>
            <w:tcW w:type="dxa" w:w="4032"/>
            <w:shd w:val="clear" w:color="auto" w:fill="F2F2F2"/>
          </w:tcPr>
          <w:p>
            <w:pPr>
              <w:jc w:val="center"/>
            </w:pPr>
            <w:r>
              <w:rPr>
                <w:sz w:val="18"/>
              </w:rPr>
              <w:t>Per-endpoint AUROC, AUPRC, Balanced Acc (val)</w:t>
            </w:r>
          </w:p>
        </w:tc>
        <w:tc>
          <w:tcPr>
            <w:tcW w:type="dxa" w:w="1008"/>
            <w:shd w:val="clear" w:color="auto" w:fill="F2F2F2"/>
          </w:tcPr>
          <w:p>
            <w:pPr>
              <w:jc w:val="center"/>
            </w:pPr>
            <w:r>
              <w:rPr>
                <w:sz w:val="18"/>
              </w:rPr>
              <w:t>~1 KB</w:t>
            </w:r>
          </w:p>
        </w:tc>
      </w:tr>
      <w:tr>
        <w:tc>
          <w:tcPr>
            <w:tcW w:type="dxa" w:w="4320"/>
            <w:shd w:val="clear" w:color="auto" w:fill="FFFFFF"/>
          </w:tcPr>
          <w:p>
            <w:pPr>
              <w:jc w:val="center"/>
            </w:pPr>
            <w:r>
              <w:rPr>
                <w:sz w:val="18"/>
              </w:rPr>
              <w:t>results/metrics_test.csv</w:t>
            </w:r>
          </w:p>
        </w:tc>
        <w:tc>
          <w:tcPr>
            <w:tcW w:type="dxa" w:w="4032"/>
            <w:shd w:val="clear" w:color="auto" w:fill="FFFFFF"/>
          </w:tcPr>
          <w:p>
            <w:pPr>
              <w:jc w:val="center"/>
            </w:pPr>
            <w:r>
              <w:rPr>
                <w:sz w:val="18"/>
              </w:rPr>
              <w:t>Per-endpoint AUROC, AUPRC, Balanced Acc (test)</w:t>
            </w:r>
          </w:p>
        </w:tc>
        <w:tc>
          <w:tcPr>
            <w:tcW w:type="dxa" w:w="1008"/>
            <w:shd w:val="clear" w:color="auto" w:fill="FFFFFF"/>
          </w:tcPr>
          <w:p>
            <w:pPr>
              <w:jc w:val="center"/>
            </w:pPr>
            <w:r>
              <w:rPr>
                <w:sz w:val="18"/>
              </w:rPr>
              <w:t>~1 KB</w:t>
            </w:r>
          </w:p>
        </w:tc>
      </w:tr>
      <w:tr>
        <w:tc>
          <w:tcPr>
            <w:tcW w:type="dxa" w:w="4320"/>
            <w:shd w:val="clear" w:color="auto" w:fill="F2F2F2"/>
          </w:tcPr>
          <w:p>
            <w:pPr>
              <w:jc w:val="center"/>
            </w:pPr>
            <w:r>
              <w:rPr>
                <w:sz w:val="18"/>
              </w:rPr>
              <w:t>results/auroc_bar_validation.png</w:t>
            </w:r>
          </w:p>
        </w:tc>
        <w:tc>
          <w:tcPr>
            <w:tcW w:type="dxa" w:w="4032"/>
            <w:shd w:val="clear" w:color="auto" w:fill="F2F2F2"/>
          </w:tcPr>
          <w:p>
            <w:pPr>
              <w:jc w:val="center"/>
            </w:pPr>
            <w:r>
              <w:rPr>
                <w:sz w:val="18"/>
              </w:rPr>
              <w:t>AUROC bar chart — validation set</w:t>
            </w:r>
          </w:p>
        </w:tc>
        <w:tc>
          <w:tcPr>
            <w:tcW w:type="dxa" w:w="1008"/>
            <w:shd w:val="clear" w:color="auto" w:fill="F2F2F2"/>
          </w:tcPr>
          <w:p>
            <w:pPr>
              <w:jc w:val="center"/>
            </w:pPr>
            <w:r>
              <w:rPr>
                <w:sz w:val="18"/>
              </w:rPr>
              <w:t>85 KB</w:t>
            </w:r>
          </w:p>
        </w:tc>
      </w:tr>
      <w:tr>
        <w:tc>
          <w:tcPr>
            <w:tcW w:type="dxa" w:w="4320"/>
            <w:shd w:val="clear" w:color="auto" w:fill="FFFFFF"/>
          </w:tcPr>
          <w:p>
            <w:pPr>
              <w:jc w:val="center"/>
            </w:pPr>
            <w:r>
              <w:rPr>
                <w:sz w:val="18"/>
              </w:rPr>
              <w:t>results/auroc_bar_test.png</w:t>
            </w:r>
          </w:p>
        </w:tc>
        <w:tc>
          <w:tcPr>
            <w:tcW w:type="dxa" w:w="4032"/>
            <w:shd w:val="clear" w:color="auto" w:fill="FFFFFF"/>
          </w:tcPr>
          <w:p>
            <w:pPr>
              <w:jc w:val="center"/>
            </w:pPr>
            <w:r>
              <w:rPr>
                <w:sz w:val="18"/>
              </w:rPr>
              <w:t>AUROC bar chart — test set</w:t>
            </w:r>
          </w:p>
        </w:tc>
        <w:tc>
          <w:tcPr>
            <w:tcW w:type="dxa" w:w="1008"/>
            <w:shd w:val="clear" w:color="auto" w:fill="FFFFFF"/>
          </w:tcPr>
          <w:p>
            <w:pPr>
              <w:jc w:val="center"/>
            </w:pPr>
            <w:r>
              <w:rPr>
                <w:sz w:val="18"/>
              </w:rPr>
              <w:t>85 KB</w:t>
            </w:r>
          </w:p>
        </w:tc>
      </w:tr>
      <w:tr>
        <w:tc>
          <w:tcPr>
            <w:tcW w:type="dxa" w:w="4320"/>
            <w:shd w:val="clear" w:color="auto" w:fill="F2F2F2"/>
          </w:tcPr>
          <w:p>
            <w:pPr>
              <w:jc w:val="center"/>
            </w:pPr>
            <w:r>
              <w:rPr>
                <w:sz w:val="18"/>
              </w:rPr>
              <w:t>results/roc_curves_validation.png</w:t>
            </w:r>
          </w:p>
        </w:tc>
        <w:tc>
          <w:tcPr>
            <w:tcW w:type="dxa" w:w="4032"/>
            <w:shd w:val="clear" w:color="auto" w:fill="F2F2F2"/>
          </w:tcPr>
          <w:p>
            <w:pPr>
              <w:jc w:val="center"/>
            </w:pPr>
            <w:r>
              <w:rPr>
                <w:sz w:val="18"/>
              </w:rPr>
              <w:t>3×4 ROC curve grid — validation set</w:t>
            </w:r>
          </w:p>
        </w:tc>
        <w:tc>
          <w:tcPr>
            <w:tcW w:type="dxa" w:w="1008"/>
            <w:shd w:val="clear" w:color="auto" w:fill="F2F2F2"/>
          </w:tcPr>
          <w:p>
            <w:pPr>
              <w:jc w:val="center"/>
            </w:pPr>
            <w:r>
              <w:rPr>
                <w:sz w:val="18"/>
              </w:rPr>
              <w:t>234 KB</w:t>
            </w:r>
          </w:p>
        </w:tc>
      </w:tr>
      <w:tr>
        <w:tc>
          <w:tcPr>
            <w:tcW w:type="dxa" w:w="4320"/>
            <w:shd w:val="clear" w:color="auto" w:fill="FFFFFF"/>
          </w:tcPr>
          <w:p>
            <w:pPr>
              <w:jc w:val="center"/>
            </w:pPr>
            <w:r>
              <w:rPr>
                <w:sz w:val="18"/>
              </w:rPr>
              <w:t>results/roc_curves_test.png</w:t>
            </w:r>
          </w:p>
        </w:tc>
        <w:tc>
          <w:tcPr>
            <w:tcW w:type="dxa" w:w="4032"/>
            <w:shd w:val="clear" w:color="auto" w:fill="FFFFFF"/>
          </w:tcPr>
          <w:p>
            <w:pPr>
              <w:jc w:val="center"/>
            </w:pPr>
            <w:r>
              <w:rPr>
                <w:sz w:val="18"/>
              </w:rPr>
              <w:t>3×4 ROC curve grid — test set</w:t>
            </w:r>
          </w:p>
        </w:tc>
        <w:tc>
          <w:tcPr>
            <w:tcW w:type="dxa" w:w="1008"/>
            <w:shd w:val="clear" w:color="auto" w:fill="FFFFFF"/>
          </w:tcPr>
          <w:p>
            <w:pPr>
              <w:jc w:val="center"/>
            </w:pPr>
            <w:r>
              <w:rPr>
                <w:sz w:val="18"/>
              </w:rPr>
              <w:t>232 KB</w:t>
            </w:r>
          </w:p>
        </w:tc>
      </w:tr>
      <w:tr>
        <w:tc>
          <w:tcPr>
            <w:tcW w:type="dxa" w:w="4320"/>
            <w:shd w:val="clear" w:color="auto" w:fill="F2F2F2"/>
          </w:tcPr>
          <w:p>
            <w:pPr>
              <w:jc w:val="center"/>
            </w:pPr>
            <w:r>
              <w:rPr>
                <w:sz w:val="18"/>
              </w:rPr>
              <w:t>results/confusion_matrices_validation.png</w:t>
            </w:r>
          </w:p>
        </w:tc>
        <w:tc>
          <w:tcPr>
            <w:tcW w:type="dxa" w:w="4032"/>
            <w:shd w:val="clear" w:color="auto" w:fill="F2F2F2"/>
          </w:tcPr>
          <w:p>
            <w:pPr>
              <w:jc w:val="center"/>
            </w:pPr>
            <w:r>
              <w:rPr>
                <w:sz w:val="18"/>
              </w:rPr>
              <w:t>3×4 normalised confusion matrix grid — val</w:t>
            </w:r>
          </w:p>
        </w:tc>
        <w:tc>
          <w:tcPr>
            <w:tcW w:type="dxa" w:w="1008"/>
            <w:shd w:val="clear" w:color="auto" w:fill="F2F2F2"/>
          </w:tcPr>
          <w:p>
            <w:pPr>
              <w:jc w:val="center"/>
            </w:pPr>
            <w:r>
              <w:rPr>
                <w:sz w:val="18"/>
              </w:rPr>
              <w:t>115 KB</w:t>
            </w:r>
          </w:p>
        </w:tc>
      </w:tr>
      <w:tr>
        <w:tc>
          <w:tcPr>
            <w:tcW w:type="dxa" w:w="4320"/>
            <w:shd w:val="clear" w:color="auto" w:fill="FFFFFF"/>
          </w:tcPr>
          <w:p>
            <w:pPr>
              <w:jc w:val="center"/>
            </w:pPr>
            <w:r>
              <w:rPr>
                <w:sz w:val="18"/>
              </w:rPr>
              <w:t>results/confusion_matrices_test.png</w:t>
            </w:r>
          </w:p>
        </w:tc>
        <w:tc>
          <w:tcPr>
            <w:tcW w:type="dxa" w:w="4032"/>
            <w:shd w:val="clear" w:color="auto" w:fill="FFFFFF"/>
          </w:tcPr>
          <w:p>
            <w:pPr>
              <w:jc w:val="center"/>
            </w:pPr>
            <w:r>
              <w:rPr>
                <w:sz w:val="18"/>
              </w:rPr>
              <w:t>3×4 normalised confusion matrix grid — test</w:t>
            </w:r>
          </w:p>
        </w:tc>
        <w:tc>
          <w:tcPr>
            <w:tcW w:type="dxa" w:w="1008"/>
            <w:shd w:val="clear" w:color="auto" w:fill="FFFFFF"/>
          </w:tcPr>
          <w:p>
            <w:pPr>
              <w:jc w:val="center"/>
            </w:pPr>
            <w:r>
              <w:rPr>
                <w:sz w:val="18"/>
              </w:rPr>
              <w:t>111 KB</w:t>
            </w:r>
          </w:p>
        </w:tc>
      </w:tr>
      <w:tr>
        <w:tc>
          <w:tcPr>
            <w:tcW w:type="dxa" w:w="4320"/>
            <w:shd w:val="clear" w:color="auto" w:fill="F2F2F2"/>
          </w:tcPr>
          <w:p>
            <w:pPr>
              <w:jc w:val="center"/>
            </w:pPr>
            <w:r>
              <w:rPr>
                <w:sz w:val="18"/>
              </w:rPr>
              <w:t>models/tox21_rf_model.joblib</w:t>
            </w:r>
          </w:p>
        </w:tc>
        <w:tc>
          <w:tcPr>
            <w:tcW w:type="dxa" w:w="4032"/>
            <w:shd w:val="clear" w:color="auto" w:fill="F2F2F2"/>
          </w:tcPr>
          <w:p>
            <w:pPr>
              <w:jc w:val="center"/>
            </w:pPr>
            <w:r>
              <w:rPr>
                <w:sz w:val="18"/>
              </w:rPr>
              <w:t>Serialised Tox21RandomForest (12 RF models)</w:t>
            </w:r>
          </w:p>
        </w:tc>
        <w:tc>
          <w:tcPr>
            <w:tcW w:type="dxa" w:w="1008"/>
            <w:shd w:val="clear" w:color="auto" w:fill="F2F2F2"/>
          </w:tcPr>
          <w:p>
            <w:pPr>
              <w:jc w:val="center"/>
            </w:pPr>
            <w:r>
              <w:rPr>
                <w:sz w:val="18"/>
              </w:rPr>
              <w:t>8.8 MB</w:t>
            </w:r>
          </w:p>
        </w:tc>
      </w:tr>
    </w:tbl>
    <w:p/>
    <w:p>
      <w:pPr>
        <w:spacing w:before="240" w:after="80"/>
      </w:pPr>
      <w:r>
        <w:rPr>
          <w:b/>
          <w:color w:val="2E74B5"/>
          <w:sz w:val="26"/>
        </w:rPr>
        <w:t>AUROC Bar Charts (auroc_bar_*.png)</w:t>
      </w:r>
    </w:p>
    <w:p>
      <w:pPr>
        <w:spacing w:after="80"/>
      </w:pPr>
      <w:r>
        <w:rPr>
          <w:sz w:val="21"/>
        </w:rPr>
        <w:t>A horizontal bar chart with one bar per endpoint, colour-coded by performance tier: green (AUROC ≥ 0.80), orange (0.65–0.80), red (&lt; 0.65). A dashed vertical line at AUROC = 0.65 marks the minimum acceptable threshold. All 12 bars fall to the right of this line on both validation and test sets.</w:t>
      </w:r>
    </w:p>
    <w:p>
      <w:pPr>
        <w:spacing w:before="240" w:after="80"/>
      </w:pPr>
      <w:r>
        <w:rPr>
          <w:b/>
          <w:color w:val="2E74B5"/>
          <w:sz w:val="26"/>
        </w:rPr>
        <w:t>ROC Curves (roc_curves_*.png)</w:t>
      </w:r>
    </w:p>
    <w:p>
      <w:pPr>
        <w:spacing w:after="80"/>
      </w:pPr>
      <w:r>
        <w:rPr>
          <w:sz w:val="21"/>
        </w:rPr>
        <w:t>A 3-row × 4-column grid of ROC curves, one per endpoint. Each subplot shows the True Positive Rate vs. False Positive Rate at varying decision thresholds, with the random-classifier diagonal (AUROC = 0.50) as a reference. The area under each curve is shaded. Curves bowing towards the top-left corner indicate better discrimination.</w:t>
      </w:r>
    </w:p>
    <w:p>
      <w:pPr>
        <w:spacing w:before="240" w:after="80"/>
      </w:pPr>
      <w:r>
        <w:rPr>
          <w:b/>
          <w:color w:val="2E74B5"/>
          <w:sz w:val="26"/>
        </w:rPr>
        <w:t>Confusion Matrices (confusion_matrices_*.png)</w:t>
      </w:r>
    </w:p>
    <w:p>
      <w:pPr>
        <w:spacing w:after="80"/>
      </w:pPr>
      <w:r>
        <w:rPr>
          <w:sz w:val="21"/>
        </w:rPr>
        <w:t>A 3-row × 4-column grid of normalised confusion matrices, one per endpoint. Each cell shows the fraction of predictions in that category (normalised by true class). High true-positive rates are particularly important given the severe class imbalance — the model must not simply predict 'non-toxic' for every compound.</w:t>
      </w:r>
    </w:p>
    <w:p>
      <w:pPr>
        <w:spacing w:before="240" w:after="80"/>
      </w:pPr>
      <w:r>
        <w:rPr>
          <w:b/>
          <w:color w:val="2E74B5"/>
          <w:sz w:val="26"/>
        </w:rPr>
        <w:t>Using the Prediction API</w:t>
      </w:r>
    </w:p>
    <w:p>
      <w:pPr>
        <w:spacing w:before="80" w:after="80"/>
        <w:ind w:left="432"/>
        <w:shd w:val="clear" w:color="auto" w:fill="F5F5F5"/>
      </w:pPr>
      <w:r>
        <w:rPr>
          <w:rFonts w:ascii="Courier New" w:hAnsi="Courier New"/>
          <w:color w:val="1F1F1F"/>
          <w:sz w:val="18"/>
        </w:rPr>
        <w:t>from src.predict import predict_toxicity</w:t>
        <w:br/>
        <w:br/>
        <w:t>result = predict_toxicity('c1ccccc1')   # benzene</w:t>
        <w:br/>
        <w:br/>
        <w:t>for endpoint, info in result.items():</w:t>
        <w:br/>
        <w:t xml:space="preserve">    print(f"{endpoint:15s}: {info['label']:10s}  P(toxic)={info['probability']:.3f}")</w:t>
      </w:r>
    </w:p>
    <w:p>
      <w:pPr>
        <w:spacing w:after="80"/>
      </w:pPr>
      <w:r>
        <w:rPr>
          <w:sz w:val="21"/>
        </w:rPr>
        <w:t>Sample output:</w:t>
      </w:r>
    </w:p>
    <w:p>
      <w:pPr>
        <w:spacing w:before="80" w:after="80"/>
        <w:ind w:left="432"/>
        <w:shd w:val="clear" w:color="auto" w:fill="F5F5F5"/>
      </w:pPr>
      <w:r>
        <w:rPr>
          <w:rFonts w:ascii="Courier New" w:hAnsi="Courier New"/>
          <w:color w:val="1F1F1F"/>
          <w:sz w:val="18"/>
        </w:rPr>
        <w:t>NR-AR          : non-toxic   P(toxic)=0.041</w:t>
        <w:br/>
        <w:t>NR-AR-LBD      : non-toxic   P(toxic)=0.031</w:t>
        <w:br/>
        <w:t>NR-AhR         : non-toxic   P(toxic)=0.199</w:t>
        <w:br/>
        <w:t>NR-Aromatase   : non-toxic   P(toxic)=0.059</w:t>
        <w:br/>
        <w:t>NR-ER          : non-toxic   P(toxic)=0.337</w:t>
        <w:br/>
        <w:t>NR-ER-LBD      : non-toxic   P(toxic)=0.116</w:t>
        <w:br/>
        <w:t>NR-PPAR-gamma  : non-toxic   P(toxic)=0.022</w:t>
        <w:br/>
        <w:t>SR-ARE         : non-toxic   P(toxic)=0.145</w:t>
        <w:br/>
        <w:t>SR-ATAD5       : non-toxic   P(toxic)=0.044</w:t>
        <w:br/>
        <w:t>SR-HSE         : non-toxic   P(toxic)=0.109</w:t>
        <w:br/>
        <w:t>SR-MMP         : non-toxic   P(toxic)=0.247</w:t>
        <w:br/>
        <w:t>SR-p53         : non-toxic   P(toxic)=0.095</w:t>
      </w:r>
    </w:p>
    <w:p>
      <w:pPr>
        <w:spacing w:before="360" w:after="120"/>
        <w:pBdr>
          <w:bottom w:val="single" w:sz="6" w:space="1" w:color="2E74B5"/>
        </w:pBdr>
      </w:pPr>
      <w:r>
        <w:rPr>
          <w:b/>
          <w:color w:val="1F497D"/>
          <w:sz w:val="36"/>
        </w:rPr>
        <w:t>9. Conclusion</w:t>
      </w:r>
    </w:p>
    <w:p>
      <w:pPr>
        <w:spacing w:before="240" w:after="80"/>
      </w:pPr>
      <w:r>
        <w:rPr>
          <w:b/>
          <w:color w:val="2E74B5"/>
          <w:sz w:val="26"/>
        </w:rPr>
        <w:t>What was achieved</w:t>
      </w:r>
    </w:p>
    <w:p>
      <w:pPr>
        <w:pStyle w:val="ListBullet"/>
        <w:spacing w:after="40"/>
        <w:ind w:left="360"/>
      </w:pPr>
      <w:r>
        <w:rPr>
          <w:sz w:val="21"/>
        </w:rPr>
        <w:t>All 12 toxicity endpoints exceeded AUROC 0.65 — the defined success threshold.</w:t>
      </w:r>
    </w:p>
    <w:p>
      <w:pPr>
        <w:pStyle w:val="ListBullet"/>
        <w:spacing w:after="40"/>
        <w:ind w:left="360"/>
      </w:pPr>
      <w:r>
        <w:rPr>
          <w:sz w:val="21"/>
        </w:rPr>
        <w:t>10 of 12 endpoints exceeded AUROC 0.75 on the test set.</w:t>
      </w:r>
    </w:p>
    <w:p>
      <w:pPr>
        <w:pStyle w:val="ListBullet"/>
        <w:spacing w:after="40"/>
        <w:ind w:left="360"/>
      </w:pPr>
      <w:r>
        <w:rPr>
          <w:sz w:val="21"/>
        </w:rPr>
        <w:t>Mean test AUROC of 0.821 and mean validation AUROC of 0.793 show consistent, generalisable performance with no signs of severe overfitting.</w:t>
      </w:r>
    </w:p>
    <w:p>
      <w:pPr>
        <w:pStyle w:val="ListBullet"/>
        <w:spacing w:after="40"/>
        <w:ind w:left="360"/>
      </w:pPr>
      <w:r>
        <w:rPr>
          <w:sz w:val="21"/>
        </w:rPr>
        <w:t>Best endpoint: NR-PPAR-gamma (Test AUROC 0.908). Weakest: SR-HSE (Test AUROC 0.690).</w:t>
      </w:r>
    </w:p>
    <w:p>
      <w:pPr>
        <w:pStyle w:val="ListBullet"/>
        <w:spacing w:after="40"/>
        <w:ind w:left="360"/>
      </w:pPr>
      <w:r>
        <w:rPr>
          <w:sz w:val="21"/>
        </w:rPr>
        <w:t>A reusable predict_toxicity() API provides instant predictions for any novel SMILES without retraining.</w:t>
      </w:r>
    </w:p>
    <w:p>
      <w:pPr>
        <w:spacing w:before="240" w:after="80"/>
      </w:pPr>
      <w:r>
        <w:rPr>
          <w:b/>
          <w:color w:val="2E74B5"/>
          <w:sz w:val="26"/>
        </w:rPr>
        <w:t>Strengths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F497D"/>
          </w:tcPr>
          <w:p>
            <w:pPr>
              <w:jc w:val="center"/>
            </w:pPr>
            <w:r>
              <w:rPr>
                <w:b/>
                <w:color w:val="FFFFFF"/>
                <w:sz w:val="19"/>
              </w:rPr>
              <w:t>Strength</w:t>
            </w:r>
          </w:p>
        </w:tc>
        <w:tc>
          <w:tcPr>
            <w:tcW w:type="dxa" w:w="6480"/>
            <w:shd w:val="clear" w:color="auto" w:fill="1F497D"/>
          </w:tcPr>
          <w:p>
            <w:pPr>
              <w:jc w:val="center"/>
            </w:pPr>
            <w:r>
              <w:rPr>
                <w:b/>
                <w:color w:val="FFFFFF"/>
                <w:sz w:val="19"/>
              </w:rPr>
              <w:t>Details</w:t>
            </w:r>
          </w:p>
        </w:tc>
      </w:tr>
      <w:tr>
        <w:tc>
          <w:tcPr>
            <w:tcW w:type="dxa" w:w="2880"/>
            <w:shd w:val="clear" w:color="auto" w:fill="F2F2F2"/>
          </w:tcPr>
          <w:p>
            <w:pPr>
              <w:jc w:val="center"/>
            </w:pPr>
            <w:r>
              <w:rPr>
                <w:sz w:val="18"/>
              </w:rPr>
              <w:t>Simple and fast</w:t>
            </w:r>
          </w:p>
        </w:tc>
        <w:tc>
          <w:tcPr>
            <w:tcW w:type="dxa" w:w="6480"/>
            <w:shd w:val="clear" w:color="auto" w:fill="F2F2F2"/>
          </w:tcPr>
          <w:p>
            <w:pPr>
              <w:jc w:val="center"/>
            </w:pPr>
            <w:r>
              <w:rPr>
                <w:sz w:val="18"/>
              </w:rPr>
              <w:t>No GPU required. Training completes in &lt; 1 minute on a laptop.</w:t>
            </w:r>
          </w:p>
        </w:tc>
      </w:tr>
      <w:tr>
        <w:tc>
          <w:tcPr>
            <w:tcW w:type="dxa" w:w="2880"/>
            <w:shd w:val="clear" w:color="auto" w:fill="FFFFFF"/>
          </w:tcPr>
          <w:p>
            <w:pPr>
              <w:jc w:val="center"/>
            </w:pPr>
            <w:r>
              <w:rPr>
                <w:sz w:val="18"/>
              </w:rPr>
              <w:t>Interpretable</w:t>
            </w:r>
          </w:p>
        </w:tc>
        <w:tc>
          <w:tcPr>
            <w:tcW w:type="dxa" w:w="6480"/>
            <w:shd w:val="clear" w:color="auto" w:fill="FFFFFF"/>
          </w:tcPr>
          <w:p>
            <w:pPr>
              <w:jc w:val="center"/>
            </w:pPr>
            <w:r>
              <w:rPr>
                <w:sz w:val="18"/>
              </w:rPr>
              <w:t>Feature importances can be mapped back to molecular substructures (SHAP-ready).</w:t>
            </w:r>
          </w:p>
        </w:tc>
      </w:tr>
      <w:tr>
        <w:tc>
          <w:tcPr>
            <w:tcW w:type="dxa" w:w="2880"/>
            <w:shd w:val="clear" w:color="auto" w:fill="F2F2F2"/>
          </w:tcPr>
          <w:p>
            <w:pPr>
              <w:jc w:val="center"/>
            </w:pPr>
            <w:r>
              <w:rPr>
                <w:sz w:val="18"/>
              </w:rPr>
              <w:t>Imbalance-robust</w:t>
            </w:r>
          </w:p>
        </w:tc>
        <w:tc>
          <w:tcPr>
            <w:tcW w:type="dxa" w:w="6480"/>
            <w:shd w:val="clear" w:color="auto" w:fill="F2F2F2"/>
          </w:tcPr>
          <w:p>
            <w:pPr>
              <w:jc w:val="center"/>
            </w:pPr>
            <w:r>
              <w:rPr>
                <w:sz w:val="18"/>
              </w:rPr>
              <w:t>class_weight='balanced' handles 3–16% positive rates without SMOTE or oversampling.</w:t>
            </w:r>
          </w:p>
        </w:tc>
      </w:tr>
      <w:tr>
        <w:tc>
          <w:tcPr>
            <w:tcW w:type="dxa" w:w="2880"/>
            <w:shd w:val="clear" w:color="auto" w:fill="FFFFFF"/>
          </w:tcPr>
          <w:p>
            <w:pPr>
              <w:jc w:val="center"/>
            </w:pPr>
            <w:r>
              <w:rPr>
                <w:sz w:val="18"/>
              </w:rPr>
              <w:t>Clean missing-data handling</w:t>
            </w:r>
          </w:p>
        </w:tc>
        <w:tc>
          <w:tcPr>
            <w:tcW w:type="dxa" w:w="6480"/>
            <w:shd w:val="clear" w:color="auto" w:fill="FFFFFF"/>
          </w:tcPr>
          <w:p>
            <w:pPr>
              <w:jc w:val="center"/>
            </w:pPr>
            <w:r>
              <w:rPr>
                <w:sz w:val="18"/>
              </w:rPr>
              <w:t>Masked training; models never see unlabelled samples.</w:t>
            </w:r>
          </w:p>
        </w:tc>
      </w:tr>
      <w:tr>
        <w:tc>
          <w:tcPr>
            <w:tcW w:type="dxa" w:w="2880"/>
            <w:shd w:val="clear" w:color="auto" w:fill="F2F2F2"/>
          </w:tcPr>
          <w:p>
            <w:pPr>
              <w:jc w:val="center"/>
            </w:pPr>
            <w:r>
              <w:rPr>
                <w:sz w:val="18"/>
              </w:rPr>
              <w:t>Reproducible</w:t>
            </w:r>
          </w:p>
        </w:tc>
        <w:tc>
          <w:tcPr>
            <w:tcW w:type="dxa" w:w="6480"/>
            <w:shd w:val="clear" w:color="auto" w:fill="F2F2F2"/>
          </w:tcPr>
          <w:p>
            <w:pPr>
              <w:jc w:val="center"/>
            </w:pPr>
            <w:r>
              <w:rPr>
                <w:sz w:val="18"/>
              </w:rPr>
              <w:t>Fixed random seed 42, stratified splits, deterministic pipeline.</w:t>
            </w:r>
          </w:p>
        </w:tc>
      </w:tr>
    </w:tbl>
    <w:p/>
    <w:p>
      <w:pPr>
        <w:spacing w:before="240" w:after="80"/>
      </w:pPr>
      <w:r>
        <w:rPr>
          <w:b/>
          <w:color w:val="2E74B5"/>
          <w:sz w:val="26"/>
        </w:rPr>
        <w:t>Limitations</w:t>
      </w:r>
    </w:p>
    <w:p>
      <w:pPr>
        <w:pStyle w:val="ListBullet"/>
        <w:spacing w:after="40"/>
        <w:ind w:left="360"/>
      </w:pPr>
      <w:r>
        <w:rPr>
          <w:sz w:val="21"/>
        </w:rPr>
        <w:t>2D features only: Morgan fingerprints encode topology, not 3D conformation. Shape/pharmacophore features could improve receptor-binding predictions.</w:t>
      </w:r>
    </w:p>
    <w:p>
      <w:pPr>
        <w:pStyle w:val="ListBullet"/>
        <w:spacing w:after="40"/>
        <w:ind w:left="360"/>
      </w:pPr>
      <w:r>
        <w:rPr>
          <w:sz w:val="21"/>
        </w:rPr>
        <w:t>Missing-at-random assumption: If missing labels correlate with toxicity, the model is biased.</w:t>
      </w:r>
    </w:p>
    <w:p>
      <w:pPr>
        <w:pStyle w:val="ListBullet"/>
        <w:spacing w:after="40"/>
        <w:ind w:left="360"/>
      </w:pPr>
      <w:r>
        <w:rPr>
          <w:sz w:val="21"/>
        </w:rPr>
        <w:t>Random (not scaffold) splitting: Structurally similar molecules can leak across splits, inflating performance estimates.</w:t>
      </w:r>
    </w:p>
    <w:p>
      <w:pPr>
        <w:pStyle w:val="ListBullet"/>
        <w:spacing w:after="40"/>
        <w:ind w:left="360"/>
      </w:pPr>
      <w:r>
        <w:rPr>
          <w:sz w:val="21"/>
        </w:rPr>
        <w:t>No applicability domain: The model gives a confidence value for any SMILES, even molecules very different from training data.</w:t>
      </w:r>
    </w:p>
    <w:p>
      <w:pPr>
        <w:pStyle w:val="ListBullet"/>
        <w:spacing w:after="40"/>
        <w:ind w:left="360"/>
      </w:pPr>
      <w:r>
        <w:rPr>
          <w:sz w:val="21"/>
        </w:rPr>
        <w:t>Binary outputs only: The model does not capture potency, dose-response, or continuous toxicity measures.</w:t>
      </w:r>
    </w:p>
    <w:p>
      <w:pPr>
        <w:spacing w:before="240" w:after="80"/>
      </w:pPr>
      <w:r>
        <w:rPr>
          <w:b/>
          <w:color w:val="2E74B5"/>
          <w:sz w:val="26"/>
        </w:rPr>
        <w:t>Recommended Next Steps</w:t>
      </w:r>
    </w:p>
    <w:tbl>
      <w:tblPr>
        <w:tblStyle w:val="TableGrid"/>
        <w:tblW w:type="auto" w:w="0"/>
        <w:jc w:val="left"/>
        <w:tblLook w:firstColumn="1" w:firstRow="1" w:lastColumn="0" w:lastRow="0" w:noHBand="0" w:noVBand="1" w:val="04A0"/>
      </w:tblPr>
      <w:tblGrid>
        <w:gridCol w:w="3135"/>
        <w:gridCol w:w="3135"/>
        <w:gridCol w:w="3135"/>
      </w:tblGrid>
      <w:tr>
        <w:tc>
          <w:tcPr>
            <w:tcW w:type="dxa" w:w="1296"/>
            <w:shd w:val="clear" w:color="auto" w:fill="1F497D"/>
          </w:tcPr>
          <w:p>
            <w:pPr>
              <w:jc w:val="center"/>
            </w:pPr>
            <w:r>
              <w:rPr>
                <w:b/>
                <w:color w:val="FFFFFF"/>
                <w:sz w:val="19"/>
              </w:rPr>
              <w:t>Priority</w:t>
            </w:r>
          </w:p>
        </w:tc>
        <w:tc>
          <w:tcPr>
            <w:tcW w:type="dxa" w:w="4320"/>
            <w:shd w:val="clear" w:color="auto" w:fill="1F497D"/>
          </w:tcPr>
          <w:p>
            <w:pPr>
              <w:jc w:val="center"/>
            </w:pPr>
            <w:r>
              <w:rPr>
                <w:b/>
                <w:color w:val="FFFFFF"/>
                <w:sz w:val="19"/>
              </w:rPr>
              <w:t>Improvement</w:t>
            </w:r>
          </w:p>
        </w:tc>
        <w:tc>
          <w:tcPr>
            <w:tcW w:type="dxa" w:w="3744"/>
            <w:shd w:val="clear" w:color="auto" w:fill="1F497D"/>
          </w:tcPr>
          <w:p>
            <w:pPr>
              <w:jc w:val="center"/>
            </w:pPr>
            <w:r>
              <w:rPr>
                <w:b/>
                <w:color w:val="FFFFFF"/>
                <w:sz w:val="19"/>
              </w:rPr>
              <w:t>Expected Impact</w:t>
            </w:r>
          </w:p>
        </w:tc>
      </w:tr>
      <w:tr>
        <w:tc>
          <w:tcPr>
            <w:tcW w:type="dxa" w:w="1296"/>
            <w:shd w:val="clear" w:color="auto" w:fill="F2F2F2"/>
          </w:tcPr>
          <w:p>
            <w:pPr>
              <w:jc w:val="center"/>
            </w:pPr>
            <w:r>
              <w:rPr>
                <w:sz w:val="18"/>
              </w:rPr>
              <w:t>High</w:t>
            </w:r>
          </w:p>
        </w:tc>
        <w:tc>
          <w:tcPr>
            <w:tcW w:type="dxa" w:w="4320"/>
            <w:shd w:val="clear" w:color="auto" w:fill="F2F2F2"/>
          </w:tcPr>
          <w:p>
            <w:pPr>
              <w:jc w:val="center"/>
            </w:pPr>
            <w:r>
              <w:rPr>
                <w:sz w:val="18"/>
              </w:rPr>
              <w:t>Scaffold-based train/test split (Murcko scaffolds)</w:t>
            </w:r>
          </w:p>
        </w:tc>
        <w:tc>
          <w:tcPr>
            <w:tcW w:type="dxa" w:w="3744"/>
            <w:shd w:val="clear" w:color="auto" w:fill="F2F2F2"/>
          </w:tcPr>
          <w:p>
            <w:pPr>
              <w:jc w:val="center"/>
            </w:pPr>
            <w:r>
              <w:rPr>
                <w:sz w:val="18"/>
              </w:rPr>
              <w:t>More realistic generalisation estimate</w:t>
            </w:r>
          </w:p>
        </w:tc>
      </w:tr>
      <w:tr>
        <w:tc>
          <w:tcPr>
            <w:tcW w:type="dxa" w:w="1296"/>
            <w:shd w:val="clear" w:color="auto" w:fill="FFFFFF"/>
          </w:tcPr>
          <w:p>
            <w:pPr>
              <w:jc w:val="center"/>
            </w:pPr>
            <w:r>
              <w:rPr>
                <w:sz w:val="18"/>
              </w:rPr>
              <w:t>High</w:t>
            </w:r>
          </w:p>
        </w:tc>
        <w:tc>
          <w:tcPr>
            <w:tcW w:type="dxa" w:w="4320"/>
            <w:shd w:val="clear" w:color="auto" w:fill="FFFFFF"/>
          </w:tcPr>
          <w:p>
            <w:pPr>
              <w:jc w:val="center"/>
            </w:pPr>
            <w:r>
              <w:rPr>
                <w:sz w:val="18"/>
              </w:rPr>
              <w:t>Graph Neural Networks (GCN, MPNN, DMPNN)</w:t>
            </w:r>
          </w:p>
        </w:tc>
        <w:tc>
          <w:tcPr>
            <w:tcW w:type="dxa" w:w="3744"/>
            <w:shd w:val="clear" w:color="auto" w:fill="FFFFFF"/>
          </w:tcPr>
          <w:p>
            <w:pPr>
              <w:jc w:val="center"/>
            </w:pPr>
            <w:r>
              <w:rPr>
                <w:sz w:val="18"/>
              </w:rPr>
              <w:t>Typically 5–10% AUROC improvement on Tox21</w:t>
            </w:r>
          </w:p>
        </w:tc>
      </w:tr>
      <w:tr>
        <w:tc>
          <w:tcPr>
            <w:tcW w:type="dxa" w:w="1296"/>
            <w:shd w:val="clear" w:color="auto" w:fill="F2F2F2"/>
          </w:tcPr>
          <w:p>
            <w:pPr>
              <w:jc w:val="center"/>
            </w:pPr>
            <w:r>
              <w:rPr>
                <w:sz w:val="18"/>
              </w:rPr>
              <w:t>Medium</w:t>
            </w:r>
          </w:p>
        </w:tc>
        <w:tc>
          <w:tcPr>
            <w:tcW w:type="dxa" w:w="4320"/>
            <w:shd w:val="clear" w:color="auto" w:fill="F2F2F2"/>
          </w:tcPr>
          <w:p>
            <w:pPr>
              <w:jc w:val="center"/>
            </w:pPr>
            <w:r>
              <w:rPr>
                <w:sz w:val="18"/>
              </w:rPr>
              <w:t>Hyperparameter tuning (max_depth, n_estimators, min_samples_leaf)</w:t>
            </w:r>
          </w:p>
        </w:tc>
        <w:tc>
          <w:tcPr>
            <w:tcW w:type="dxa" w:w="3744"/>
            <w:shd w:val="clear" w:color="auto" w:fill="F2F2F2"/>
          </w:tcPr>
          <w:p>
            <w:pPr>
              <w:jc w:val="center"/>
            </w:pPr>
            <w:r>
              <w:rPr>
                <w:sz w:val="18"/>
              </w:rPr>
              <w:t>Marginal RF improvement</w:t>
            </w:r>
          </w:p>
        </w:tc>
      </w:tr>
      <w:tr>
        <w:tc>
          <w:tcPr>
            <w:tcW w:type="dxa" w:w="1296"/>
            <w:shd w:val="clear" w:color="auto" w:fill="FFFFFF"/>
          </w:tcPr>
          <w:p>
            <w:pPr>
              <w:jc w:val="center"/>
            </w:pPr>
            <w:r>
              <w:rPr>
                <w:sz w:val="18"/>
              </w:rPr>
              <w:t>Medium</w:t>
            </w:r>
          </w:p>
        </w:tc>
        <w:tc>
          <w:tcPr>
            <w:tcW w:type="dxa" w:w="4320"/>
            <w:shd w:val="clear" w:color="auto" w:fill="FFFFFF"/>
          </w:tcPr>
          <w:p>
            <w:pPr>
              <w:jc w:val="center"/>
            </w:pPr>
            <w:r>
              <w:rPr>
                <w:sz w:val="18"/>
              </w:rPr>
              <w:t>Ensemble RF + gradient boosting (XGBoost / LightGBM)</w:t>
            </w:r>
          </w:p>
        </w:tc>
        <w:tc>
          <w:tcPr>
            <w:tcW w:type="dxa" w:w="3744"/>
            <w:shd w:val="clear" w:color="auto" w:fill="FFFFFF"/>
          </w:tcPr>
          <w:p>
            <w:pPr>
              <w:jc w:val="center"/>
            </w:pPr>
            <w:r>
              <w:rPr>
                <w:sz w:val="18"/>
              </w:rPr>
              <w:t>Additional ~2–3% AUROC</w:t>
            </w:r>
          </w:p>
        </w:tc>
      </w:tr>
      <w:tr>
        <w:tc>
          <w:tcPr>
            <w:tcW w:type="dxa" w:w="1296"/>
            <w:shd w:val="clear" w:color="auto" w:fill="F2F2F2"/>
          </w:tcPr>
          <w:p>
            <w:pPr>
              <w:jc w:val="center"/>
            </w:pPr>
            <w:r>
              <w:rPr>
                <w:sz w:val="18"/>
              </w:rPr>
              <w:t>Medium</w:t>
            </w:r>
          </w:p>
        </w:tc>
        <w:tc>
          <w:tcPr>
            <w:tcW w:type="dxa" w:w="4320"/>
            <w:shd w:val="clear" w:color="auto" w:fill="F2F2F2"/>
          </w:tcPr>
          <w:p>
            <w:pPr>
              <w:jc w:val="center"/>
            </w:pPr>
            <w:r>
              <w:rPr>
                <w:sz w:val="18"/>
              </w:rPr>
              <w:t>SHAP values for substructure attribution</w:t>
            </w:r>
          </w:p>
        </w:tc>
        <w:tc>
          <w:tcPr>
            <w:tcW w:type="dxa" w:w="3744"/>
            <w:shd w:val="clear" w:color="auto" w:fill="F2F2F2"/>
          </w:tcPr>
          <w:p>
            <w:pPr>
              <w:jc w:val="center"/>
            </w:pPr>
            <w:r>
              <w:rPr>
                <w:sz w:val="18"/>
              </w:rPr>
              <w:t>Interpretability for regulatory use</w:t>
            </w:r>
          </w:p>
        </w:tc>
      </w:tr>
      <w:tr>
        <w:tc>
          <w:tcPr>
            <w:tcW w:type="dxa" w:w="1296"/>
            <w:shd w:val="clear" w:color="auto" w:fill="FFFFFF"/>
          </w:tcPr>
          <w:p>
            <w:pPr>
              <w:jc w:val="center"/>
            </w:pPr>
            <w:r>
              <w:rPr>
                <w:sz w:val="18"/>
              </w:rPr>
              <w:t>Low</w:t>
            </w:r>
          </w:p>
        </w:tc>
        <w:tc>
          <w:tcPr>
            <w:tcW w:type="dxa" w:w="4320"/>
            <w:shd w:val="clear" w:color="auto" w:fill="FFFFFF"/>
          </w:tcPr>
          <w:p>
            <w:pPr>
              <w:jc w:val="center"/>
            </w:pPr>
            <w:r>
              <w:rPr>
                <w:sz w:val="18"/>
              </w:rPr>
              <w:t>Uncertainty quantification (conformal prediction)</w:t>
            </w:r>
          </w:p>
        </w:tc>
        <w:tc>
          <w:tcPr>
            <w:tcW w:type="dxa" w:w="3744"/>
            <w:shd w:val="clear" w:color="auto" w:fill="FFFFFF"/>
          </w:tcPr>
          <w:p>
            <w:pPr>
              <w:jc w:val="center"/>
            </w:pPr>
            <w:r>
              <w:rPr>
                <w:sz w:val="18"/>
              </w:rPr>
              <w:t>Confidence bounds on predictions</w:t>
            </w:r>
          </w:p>
        </w:tc>
      </w:tr>
      <w:tr>
        <w:tc>
          <w:tcPr>
            <w:tcW w:type="dxa" w:w="1296"/>
            <w:shd w:val="clear" w:color="auto" w:fill="F2F2F2"/>
          </w:tcPr>
          <w:p>
            <w:pPr>
              <w:jc w:val="center"/>
            </w:pPr>
            <w:r>
              <w:rPr>
                <w:sz w:val="18"/>
              </w:rPr>
              <w:t>Low</w:t>
            </w:r>
          </w:p>
        </w:tc>
        <w:tc>
          <w:tcPr>
            <w:tcW w:type="dxa" w:w="4320"/>
            <w:shd w:val="clear" w:color="auto" w:fill="F2F2F2"/>
          </w:tcPr>
          <w:p>
            <w:pPr>
              <w:jc w:val="center"/>
            </w:pPr>
            <w:r>
              <w:rPr>
                <w:sz w:val="18"/>
              </w:rPr>
              <w:t>Tanimoto-based applicability domain filter</w:t>
            </w:r>
          </w:p>
        </w:tc>
        <w:tc>
          <w:tcPr>
            <w:tcW w:type="dxa" w:w="3744"/>
            <w:shd w:val="clear" w:color="auto" w:fill="F2F2F2"/>
          </w:tcPr>
          <w:p>
            <w:pPr>
              <w:jc w:val="center"/>
            </w:pPr>
            <w:r>
              <w:rPr>
                <w:sz w:val="18"/>
              </w:rPr>
              <w:t>Safer deployment on novel chemotypes</w:t>
            </w:r>
          </w:p>
        </w:tc>
      </w:tr>
    </w:tbl>
    <w:p/>
    <w:p>
      <w:pPr>
        <w:spacing w:before="240" w:after="80"/>
      </w:pPr>
      <w:r>
        <w:rPr>
          <w:b/>
          <w:color w:val="2E74B5"/>
          <w:sz w:val="26"/>
        </w:rPr>
        <w:t>Final Verdict</w:t>
      </w:r>
    </w:p>
    <w:p>
      <w:pPr>
        <w:spacing w:after="80"/>
      </w:pPr>
      <w:r>
        <w:rPr>
          <w:sz w:val="21"/>
        </w:rPr>
        <w:t>The Random Forest + Morgan fingerprint baseline is a solid, production-ready starting point for multi-endpoint toxicity prediction. It is fast, interpretable, and well-calibrated for the Tox21 benchmark. For improved accuracy — especially on held-out scaffold clusters — graph neural network approaches are the recommended next step.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