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97A1" w14:textId="77777777" w:rsidR="00D54DB4" w:rsidRPr="0062439C" w:rsidRDefault="00EA5D2D" w:rsidP="00E721A9">
      <w:pPr>
        <w:pStyle w:val="DOP"/>
        <w:tabs>
          <w:tab w:val="left" w:pos="180"/>
        </w:tabs>
      </w:pPr>
      <w:r w:rsidRPr="0062439C">
        <w:t xml:space="preserve">Date of publication </w:t>
      </w:r>
      <w:proofErr w:type="spellStart"/>
      <w:r w:rsidRPr="0062439C">
        <w:t>xxxx</w:t>
      </w:r>
      <w:proofErr w:type="spellEnd"/>
      <w:r w:rsidRPr="0062439C">
        <w:t xml:space="preserve"> 00, 0000, date of current version </w:t>
      </w:r>
      <w:proofErr w:type="spellStart"/>
      <w:r w:rsidRPr="0062439C">
        <w:t>xxxx</w:t>
      </w:r>
      <w:proofErr w:type="spellEnd"/>
      <w:r w:rsidRPr="0062439C">
        <w:t xml:space="preserve"> 00, 0000.</w:t>
      </w:r>
    </w:p>
    <w:p w14:paraId="7F95A7D6" w14:textId="7666495B" w:rsidR="00505C65" w:rsidRPr="0062439C" w:rsidRDefault="00505C65" w:rsidP="00505C65">
      <w:pPr>
        <w:pStyle w:val="DOI"/>
      </w:pPr>
      <w:r w:rsidRPr="0062439C">
        <w:t>Digital Object Identifier 10.1109/</w:t>
      </w:r>
      <w:proofErr w:type="gramStart"/>
      <w:r w:rsidRPr="0062439C">
        <w:t>ACCESS.20</w:t>
      </w:r>
      <w:r>
        <w:t>2</w:t>
      </w:r>
      <w:r w:rsidR="00E05FFD">
        <w:t>4</w:t>
      </w:r>
      <w:r w:rsidRPr="0062439C">
        <w:t>.Doi</w:t>
      </w:r>
      <w:proofErr w:type="gramEnd"/>
      <w:r w:rsidRPr="0062439C">
        <w:t xml:space="preserve"> Number</w:t>
      </w:r>
    </w:p>
    <w:p w14:paraId="774CFF19" w14:textId="34BC7B24" w:rsidR="00EA5D2D" w:rsidRPr="00084BD2" w:rsidRDefault="00084BD2" w:rsidP="00105925">
      <w:pPr>
        <w:pStyle w:val="PaperTitle"/>
      </w:pPr>
      <w:r>
        <w:t>Presence, Not Prestige: Commitment Structure Dominates Source Authority in the Sycophancy of Small Open LLMs</w:t>
      </w:r>
    </w:p>
    <w:p w14:paraId="5FE3534C" w14:textId="77777777" w:rsidR="00EA5D2D" w:rsidRPr="00084BD2" w:rsidRDefault="00084BD2" w:rsidP="005C261D">
      <w:pPr>
        <w:pStyle w:val="AU"/>
        <w:spacing w:after="0"/>
      </w:pPr>
      <w:r>
        <w:t>Author One¹ and Author Two²</w:t>
      </w:r>
    </w:p>
    <w:p w14:paraId="2EFF7622" w14:textId="77777777" w:rsidR="00084BD2" w:rsidRPr="005C261D" w:rsidRDefault="005C261D" w:rsidP="005C261D">
      <w:pPr>
        <w:pStyle w:val="PINoSpace"/>
        <w:ind w:firstLine="0"/>
        <w:rPr>
          <w:sz w:val="14"/>
          <w:szCs w:val="14"/>
        </w:rPr>
      </w:pPr>
      <w:r>
        <w:t>¹Affiliation One, City, Country (e-mail: author.one@example.org)</w:t>
      </w:r>
    </w:p>
    <w:p w14:paraId="1963C2EE" w14:textId="77777777" w:rsidR="00084BD2" w:rsidRPr="005C261D" w:rsidRDefault="005C261D" w:rsidP="005C261D">
      <w:pPr>
        <w:pStyle w:val="PINoSpace"/>
        <w:ind w:firstLine="0"/>
        <w:rPr>
          <w:sz w:val="14"/>
          <w:szCs w:val="14"/>
        </w:rPr>
      </w:pPr>
      <w:r>
        <w:t>²Affiliation Two, City, Country (e-mail: author.two@example.org)</w:t>
      </w:r>
    </w:p>
    <w:p w14:paraId="2339F05E" w14:textId="77777777" w:rsidR="00EA5D2D" w:rsidRPr="005C261D" w:rsidRDefault="005C261D" w:rsidP="005C261D">
      <w:pPr>
        <w:pStyle w:val="PI"/>
        <w:spacing w:after="0"/>
        <w:ind w:right="1598" w:firstLine="0"/>
        <w:rPr>
          <w:sz w:val="14"/>
          <w:szCs w:val="14"/>
        </w:rPr>
      </w:pPr>
      <w:r/>
    </w:p>
    <w:p w14:paraId="00C6F9B4" w14:textId="77777777" w:rsidR="005C261D" w:rsidRDefault="005C261D" w:rsidP="005C261D">
      <w:pPr>
        <w:pStyle w:val="PI"/>
        <w:spacing w:before="100" w:after="100"/>
        <w:ind w:right="1598" w:firstLine="0"/>
      </w:pPr>
      <w:r>
        <w:t>Corresponding author: Author One (e-mail: author.one@example.org).</w:t>
      </w:r>
    </w:p>
    <w:p w14:paraId="6C6620AA" w14:textId="4A854596" w:rsidR="005C261D" w:rsidRDefault="005C261D" w:rsidP="005C261D">
      <w:pPr>
        <w:pStyle w:val="FootnoteText"/>
        <w:spacing w:after="540"/>
        <w:ind w:firstLine="0"/>
      </w:pPr>
      <w:r>
        <w:t>Code, pre-registration, SHA-256-frozen raw data, and analysis scripts: github.com/Gokul-2004/research-1. The analysis plan was committed before any inference (git 427d75a, 2026-06-29).</w:t>
      </w:r>
    </w:p>
    <w:p w14:paraId="25001565" w14:textId="77777777" w:rsidR="00EA5D2D" w:rsidRPr="00364197" w:rsidRDefault="00EA5D2D" w:rsidP="005C3955">
      <w:pPr>
        <w:pStyle w:val="Abstract"/>
      </w:pPr>
      <w:r>
        <w:t>ABSTRACT Sycophancy—capitulating to a user's counter-claim at the expense of a correct answer—is</w:t>
        <w:br/>
        <w:t>usually studied by varying who disagrees. We pre-registered exactly that hypothesis, a graded</w:t>
        <w:br/>
        <w:t>authority-tier by endorsement-direction interaction, and it failed (coefficient 0.01, p = 0.90,</w:t>
        <w:br/>
        <w:t>n = 5,504). What varies capitulation instead is when the disagreement arrives. Across six</w:t>
        <w:br/>
        <w:t>open-weight models (3B–9B, five families), three objective domains, four matched authority</w:t>
        <w:br/>
        <w:t>rungs, and two endorsement directions on identical, correctness-gated items, we crossed a</w:t>
        <w:br/>
        <w:t>two-turn commit-then-challenge protocol with a single-turn question-then-hint protocol. Prior</w:t>
        <w:br/>
        <w:t>self-commitment multiplied caving under incorrect endorsements by 1.9–9.3 times (paired</w:t>
        <w:br/>
        <w:t>McNemar p below 1e-15 in every model), the largest effect in the dataset: Qwen2.5-7B answers</w:t>
        <w:br/>
        <w:t>89.6 percent of challenged items correctly when the counter-claim arrives with the question,</w:t>
        <w:br/>
        <w:t>yet caves on 97.2 percent of the same items after it has committed. Endorsement direction is</w:t>
        <w:br/>
        <w:t>the second-largest effect (coefficient 3.5): incorrect endorsements devastate accuracy while</w:t>
        <w:br/>
        <w:t>correct ones barely help. The mere presence of a counter-claim—an anonymous “someone”—%</w:t>
        <w:br/>
        <w:t>achieves most of the remaining effect, while source authority contributes only a small,</w:t>
        <w:br/>
        <w:t>model-dependent modulation with inconsistent sign: professor versus anonymous shifts caving</w:t>
        <w:br/>
        <w:t>+22, +18, and -17 percentage points in the three non-saturated models. The models' own prior</w:t>
        <w:br/>
        <w:t>confidence does not protect them: the highest-confidence quintile still flips 83.5 percent of</w:t>
        <w:br/>
        <w:t>the time. Labels are validated by a human-checked judge (kappa 0.967, main experiment); all</w:t>
        <w:br/>
        <w:t>data, code, the pre-registration, and every deviation from it are released.</w:t>
      </w:r>
    </w:p>
    <w:p w14:paraId="0F417778" w14:textId="57ADE501" w:rsidR="00D828C6" w:rsidRPr="00364197" w:rsidRDefault="00D828C6" w:rsidP="003B3FFE">
      <w:pPr>
        <w:pStyle w:val="IT"/>
      </w:pPr>
      <w:r>
        <w:t>INDEX TERMS Human-AI interaction, large language models, model evaluation, pre-registered study,</w:t>
        <w:br/>
        <w:t>sycophancy, trustworthy AI</w:t>
      </w:r>
    </w:p>
    <w:p w14:paraId="5D90FDC6" w14:textId="77777777" w:rsidR="00D828C6" w:rsidRPr="00887BB0" w:rsidRDefault="00D828C6" w:rsidP="003B3FFE">
      <w:pPr>
        <w:pStyle w:val="IT"/>
        <w:sectPr w:rsidR="00D828C6" w:rsidRPr="00887BB0" w:rsidSect="00CB2DB1">
          <w:headerReference w:type="default" r:id="rId9"/>
          <w:footerReference w:type="default" r:id="rId10"/>
          <w:pgSz w:w="11520" w:h="15660" w:code="1"/>
          <w:pgMar w:top="1280" w:right="740" w:bottom="1040" w:left="740" w:header="360" w:footer="640" w:gutter="0"/>
          <w:cols w:space="720"/>
          <w:docGrid w:linePitch="360"/>
        </w:sectPr>
      </w:pPr>
    </w:p>
    <w:p>
      <w:pPr>
        <w:pStyle w:val="H1ListSpace"/>
      </w:pPr>
      <w:r>
        <w:t>INTRODUCTION</w:t>
      </w:r>
    </w:p>
    <w:p>
      <w:pPr>
        <w:pStyle w:val="PARA"/>
      </w:pPr>
      <w:r>
        <w:rPr>
          <w:b w:val="0"/>
          <w:i w:val="0"/>
        </w:rPr>
        <w:t>When a language model that has just given a correct answer is told “a professor</w:t>
        <w:br/>
        <w:t>thinks the answer is X,” does it cave because of the professor, because someone—anyone—%</w:t>
        <w:br/>
        <w:t>disagreed, or because it had already committed to an answer it is now being asked to defend?</w:t>
        <w:br/>
        <w:t>These three explanations—</w:t>
      </w:r>
      <w:r>
        <w:rPr>
          <w:b w:val="0"/>
          <w:i/>
        </w:rPr>
        <w:t>prestige</w:t>
      </w:r>
      <w:r>
        <w:rPr>
          <w:b w:val="0"/>
          <w:i w:val="0"/>
        </w:rPr>
        <w:t xml:space="preserve">, </w:t>
      </w:r>
      <w:r>
        <w:rPr>
          <w:b w:val="0"/>
          <w:i/>
        </w:rPr>
        <w:t>presence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commitment</w:t>
        <w:br/>
        <w:t>structure</w:t>
      </w:r>
      <w:r>
        <w:rPr>
          <w:b w:val="0"/>
          <w:i w:val="0"/>
        </w:rPr>
        <w:t>—are confounded in most sycophancy evaluations, which vary the authority of a</w:t>
        <w:br/>
        <w:t>counter-claim while holding the conversational structure fixed</w:t>
        <w:br/>
        <w:t>[1, 2, 3].</w:t>
      </w:r>
    </w:p>
    <w:p>
      <w:pPr>
        <w:pStyle w:val="PARAIndent"/>
      </w:pPr>
      <w:r>
        <w:rPr>
          <w:b w:val="0"/>
          <w:i w:val="0"/>
        </w:rPr>
        <w:t>This paper separates them. We pre-registered the prestige hypothesis—a graded</w:t>
        <w:br/>
        <w:t>authority-tier × endorsement-direction interaction, motivated by reports of clean</w:t>
        <w:br/>
        <w:t>monotonic authority gradients [3, 6]—and it failed decisively</w:t>
        <w:br/>
        <w:t>(p=0.90; Section 4.1). Rather than rescue it, we report what the factorial</w:t>
        <w:br/>
        <w:t>design shows actually governs capitulation, in descending order of effect size:</w:t>
      </w:r>
    </w:p>
    <w:p>
      <w:pPr>
        <w:pStyle w:val="PARAIndent"/>
      </w:pPr>
      <w:r>
        <w:t xml:space="preserve">•  </w:t>
      </w:r>
      <w:r>
        <w:rPr>
          <w:b/>
          <w:i w:val="0"/>
        </w:rPr>
        <w:t>Commitment structure</w:t>
      </w:r>
      <w:r>
        <w:rPr>
          <w:b w:val="0"/>
          <w:i w:val="0"/>
        </w:rPr>
        <w:t xml:space="preserve"> (Section 4.2). On identical items and</w:t>
        <w:br/>
        <w:t>authority rungs, moving the counter-claim from a single-turn hint to a second turn—after</w:t>
        <w:br/>
        <w:t>the model has answered once—multiplies caving by 1.9–9.3× (paired McNemar</w:t>
        <w:br/>
        <w:t>p&lt;10⁻¹⁵ in all six models). To our knowledge this is the first per-model quantification</w:t>
        <w:br/>
        <w:t>of the self-commitment penalty in small open-weight models under a true prior-answer gate.</w:t>
      </w:r>
    </w:p>
    <w:p>
      <w:pPr>
        <w:pStyle w:val="PARAIndent"/>
      </w:pPr>
      <w:r>
        <w:t xml:space="preserve">•  </w:t>
      </w:r>
      <w:r>
        <w:rPr>
          <w:b/>
          <w:i w:val="0"/>
        </w:rPr>
        <w:t>Endorsement direction</w:t>
      </w:r>
      <w:r>
        <w:rPr>
          <w:b w:val="0"/>
          <w:i w:val="0"/>
        </w:rPr>
        <w:t xml:space="preserve"> (Section 4.3). Incorrect endorsements</w:t>
        <w:br/>
        <w:t>collapse accuracy; correct ones barely improve it (|β|=3.5, p&lt;10⁻¹⁵)—the</w:t>
        <w:br/>
        <w:t>regressive/progressive asymmetry of [2], reproduced under pre-registration.</w:t>
      </w:r>
    </w:p>
    <w:p>
      <w:pPr>
        <w:pStyle w:val="PARAIndent"/>
      </w:pPr>
      <w:r>
        <w:t xml:space="preserve">•  </w:t>
      </w:r>
      <w:r>
        <w:rPr>
          <w:b/>
          <w:i w:val="0"/>
        </w:rPr>
        <w:t>Presence, then prestige as a modulation</w:t>
      </w:r>
      <w:r>
        <w:rPr>
          <w:b w:val="0"/>
          <w:i w:val="0"/>
        </w:rPr>
        <w:t xml:space="preserve"> (Section 4.4). An</w:t>
        <w:br/>
        <w:t>anonymous “someone thinks the answer is X” achieves most of the two-turn effect. Authority</w:t>
        <w:br/>
        <w:t xml:space="preserve">adds a modulation that is real but small, model-dependent, and </w:t>
      </w:r>
      <w:r>
        <w:rPr>
          <w:b w:val="0"/>
          <w:i/>
        </w:rPr>
        <w:t>inconsistent in sign</w:t>
      </w:r>
      <w:r>
        <w:rPr>
          <w:b w:val="0"/>
          <w:i w:val="0"/>
        </w:rPr>
        <w:t>:</w:t>
        <w:br/>
        <w:t>+22.4 pp (Phi-3.5-mini), +17.8 pp (Gemma-2-9B), -17.0 pp (Mistral-7B, where the</w:t>
        <w:br/>
        <w:t xml:space="preserve">anonymous source </w:t>
      </w:r>
      <w:r>
        <w:rPr>
          <w:b w:val="0"/>
          <w:i/>
        </w:rPr>
        <w:t>out</w:t>
      </w:r>
      <w:r>
        <w:rPr>
          <w:b w:val="0"/>
          <w:i w:val="0"/>
        </w:rPr>
        <w:t>-pushes the professor).</w:t>
      </w:r>
    </w:p>
    <w:p>
      <w:pPr>
        <w:pStyle w:val="PARAIndent"/>
      </w:pPr>
      <w:r>
        <w:t xml:space="preserve">•  </w:t>
      </w:r>
      <w:r>
        <w:rPr>
          <w:b/>
          <w:i w:val="0"/>
        </w:rPr>
        <w:t>Confidence does not protect</w:t>
      </w:r>
      <w:r>
        <w:rPr>
          <w:b w:val="0"/>
          <w:i w:val="0"/>
        </w:rPr>
        <w:t xml:space="preserve"> (Section 4.5). The model's own</w:t>
        <w:br/>
        <w:t>pre-pressure belief margin fails to predict resistance; the most confident quintile flips</w:t>
        <w:br/>
        <w:t>83.5% of the time.</w:t>
      </w:r>
    </w:p>
    <w:p>
      <w:pPr>
        <w:pStyle w:val="PARAIndent"/>
      </w:pPr>
      <w:r>
        <w:rPr>
          <w:b w:val="0"/>
          <w:i w:val="0"/>
        </w:rPr>
        <w:t>Two recent papers bracket this contribution. Wang et al. [4] show with</w:t>
        <w:br/>
        <w:t xml:space="preserve">single-turn logit and activation analysis that opinion </w:t>
      </w:r>
      <w:r>
        <w:rPr>
          <w:b w:val="0"/>
          <w:i/>
        </w:rPr>
        <w:t>presence</w:t>
      </w:r>
      <w:r>
        <w:rPr>
          <w:b w:val="0"/>
          <w:i w:val="0"/>
        </w:rPr>
        <w:t>, not stated expertise</w:t>
        <w:br/>
        <w:t>(effects within 4.4%), drives sycophancy; we provide independent, pre-registered,</w:t>
        <w:br/>
      </w:r>
      <w:r>
        <w:rPr>
          <w:b w:val="0"/>
          <w:i/>
        </w:rPr>
        <w:t>behavioral</w:t>
      </w:r>
      <w:r>
        <w:rPr>
          <w:b w:val="0"/>
          <w:i w:val="0"/>
        </w:rPr>
        <w:t xml:space="preserve"> confirmation—and a refinement their design cannot see: under commitment</w:t>
        <w:br/>
        <w:t>pressure, authority framing moves behavior by ±17–22 pp in models with headroom, in</w:t>
        <w:br/>
        <w:t>model-specific directions. Kim and Khashabi [5] report that LLM evaluators revise</w:t>
        <w:br/>
        <w:t>judgments under user rebuttal in frontier models; our contribution is the per-model</w:t>
        <w:br/>
      </w:r>
      <w:r>
        <w:rPr>
          <w:b w:val="0"/>
          <w:i/>
        </w:rPr>
        <w:t>factorial</w:t>
      </w:r>
      <w:r>
        <w:rPr>
          <w:b w:val="0"/>
          <w:i w:val="0"/>
        </w:rPr>
        <w:t>: commitment structure crossed with authority tiers, an anonymous floor,</w:t>
        <w:br/>
        <w:t>endorsement direction, and a persona-design A/B, on one gated item set, in six small open</w:t>
        <w:br/>
        <w:t>models of the kind practitioners deploy on consumer hardware.</w:t>
      </w:r>
    </w:p>
    <w:p>
      <w:pPr>
        <w:pStyle w:val="PARAIndent"/>
      </w:pPr>
      <w:r>
        <w:rPr>
          <w:b w:val="0"/>
          <w:i w:val="0"/>
        </w:rPr>
        <w:t>We make five commitments to rigor. (i) The analysis plan was committed to version control</w:t>
        <w:br/>
        <w:t>before any inference ran; we cite it and report its confirmatory test as failed. (ii) Every</w:t>
        <w:br/>
        <w:t>deviation from the plan is disclosed in a dedicated table in the repository, following</w:t>
        <w:br/>
        <w:t>[19]. (iii) Behavioral labels are validated against human annotation</w:t>
        <w:br/>
        <w:t>(κ=0.967; scoped to the main experiment). (iv) All raw outputs are SHA-256–frozen</w:t>
        <w:br/>
        <w:t>and released; every statistic in this paper regenerates from one committed script.</w:t>
        <w:br/>
        <w:t>(v) Exploratory analyses are labeled as such and Benjamini–Hochberg (BH) corrected as</w:t>
        <w:br/>
        <w:t>families.</w:t>
      </w:r>
    </w:p>
    <w:p>
      <w:pPr>
        <w:pStyle w:val="H1ListSpace"/>
      </w:pPr>
      <w:r>
        <w:t>RELATED WORK</w:t>
      </w:r>
    </w:p>
    <w:p>
      <w:pPr>
        <w:pStyle w:val="H2Cont"/>
      </w:pPr>
      <w:r>
        <w:t>Sycophancy in LLMs</w:t>
      </w:r>
    </w:p>
    <w:p>
      <w:pPr>
        <w:pStyle w:val="PARA"/>
      </w:pPr>
      <w:r>
        <w:rPr>
          <w:b w:val="0"/>
          <w:i w:val="0"/>
        </w:rPr>
        <w:t>Sycophancy as capitulation to user pushback was systematized by Sharma et</w:t>
        <w:br/>
        <w:t>al. [1], whose first-person “I don't think that's right—are you sure?”</w:t>
        <w:br/>
        <w:t>challenge our control rung descends from. SycEval [2] separated regressive from</w:t>
        <w:br/>
        <w:t>progressive sycophancy and showed rebuttal strength matters. Zhang et al. [7]</w:t>
        <w:br/>
        <w:t>found susceptibility tracks alignment strategy rather than scale, and SycoEval-EM</w:t>
        <w:br/>
        <w:t>[8] reported bimodal “general susceptibility” with persuasion tactics</w:t>
        <w:br/>
        <w:t>statistically indistinguishable—a pattern our saturating models reproduce. Sycophancy has</w:t>
        <w:br/>
        <w:t>been connected to instruction tuning and human-feedback incentives [10, 11],</w:t>
        <w:br/>
        <w:t>and to unfaithful self-reports of reasoning [12].</w:t>
      </w:r>
    </w:p>
    <w:p>
      <w:pPr>
        <w:pStyle w:val="H2Cont"/>
      </w:pPr>
      <w:r>
        <w:t>Authority and source credibility</w:t>
      </w:r>
    </w:p>
    <w:p>
      <w:pPr>
        <w:pStyle w:val="PARA"/>
      </w:pPr>
      <w:r>
        <w:rPr>
          <w:b w:val="0"/>
          <w:i w:val="0"/>
        </w:rPr>
        <w:t>Mammen et al. [3] report a clean monotonic authority gradient across 11 models</w:t>
        <w:br/>
        <w:t>using question-then-hint logit measurement with domain-matched institutional personas over</w:t>
        <w:br/>
        <w:t>math, legal, and medical items; the companion mechanistic study [6] argues the</w:t>
        <w:br/>
        <w:t>gradient requires socially meaningful institutional hierarchy. Wang et al. [4]</w:t>
        <w:br/>
        <w:t>find the opposite under generic expertise framing on MMLU: presence of an opinion dominates</w:t>
        <w:br/>
        <w:t>(sycophancy on 46.6–95.1% of items), expertise framing contributes ≤4.4%, and</w:t>
        <w:br/>
        <w:t>expertise levels are not separable in the residual stream. Our design speaks to both. Our</w:t>
        <w:br/>
        <w:t xml:space="preserve">generic ladder reproduces Wang-style expertise-invariance </w:t>
      </w:r>
      <w:r>
        <w:rPr>
          <w:b w:val="0"/>
          <w:i/>
        </w:rPr>
        <w:t>on average</w:t>
      </w:r>
      <w:r>
        <w:rPr>
          <w:b w:val="0"/>
          <w:i w:val="0"/>
        </w:rPr>
        <w:t>; our</w:t>
        <w:br/>
        <w:t>domain-matched arm partially recovers Mammen-style grading (3/6 models); and our paired</w:t>
        <w:br/>
        <w:t>per-model tests reveal a sign-inconsistent authority modulation that neither average-level</w:t>
        <w:br/>
        <w:t>analysis can see. Human analogues are classical: conformity saturates with the mere presence</w:t>
        <w:br/>
        <w:t>of unanimous dissent [20]; humans weight advisor expertise when taking advice</w:t>
        <w:br/>
        <w:t>[22]; and public commitment entrenches positions [21]. Our</w:t>
        <w:br/>
        <w:t>models show the commitment effect while largely lacking the expertise-weighting one.</w:t>
      </w:r>
    </w:p>
    <w:p>
      <w:pPr>
        <w:pStyle w:val="H2Cont"/>
      </w:pPr>
      <w:r>
        <w:t>Turn structure</w:t>
      </w:r>
    </w:p>
    <w:p>
      <w:pPr>
        <w:pStyle w:val="PARA"/>
      </w:pPr>
      <w:r>
        <w:rPr>
          <w:b w:val="0"/>
          <w:i w:val="0"/>
        </w:rPr>
        <w:t>Kim and Khashabi [5] manipulate whether an LLM evaluator is challenged after</w:t>
        <w:br/>
        <w:t>issuing a judgment; Hong et al. [9] track answer flips over multi-turn pressure.</w:t>
        <w:br/>
        <w:t>Neither crosses turn structure with authority tiers and endorsement direction on a</w:t>
        <w:br/>
        <w:t>prior-answer-gated item set in small open models; that crossing, with the commitment penalty</w:t>
        <w:br/>
        <w:t>quantified per model, is the gap filled here. Position and recency effects in such designs</w:t>
        <w:br/>
        <w:t>are a known concern [14]; the direction asymmetry we observe</w:t>
        <w:br/>
        <w:t>(Section 4.3) argues against a pure recency account, since a</w:t>
        <w:br/>
        <w:t>last-message-wins model would gain as much from correct endorsements as it loses from</w:t>
        <w:br/>
        <w:t>incorrect ones.</w:t>
      </w:r>
    </w:p>
    <w:p>
      <w:pPr>
        <w:pStyle w:val="H1ListSpace"/>
      </w:pPr>
      <w:r>
        <w:t>METHOD</w:t>
      </w:r>
    </w:p>
    <w:p>
      <w:pPr>
        <w:pStyle w:val="PARA"/>
      </w:pPr>
      <w:r>
        <w:rPr>
          <w:b w:val="0"/>
          <w:i w:val="0"/>
        </w:rPr>
        <w:t>Fig. 1 summarizes the design; full prompts, per-trial records, and the</w:t>
        <w:br/>
        <w:t>pre-registration are in the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design_schemati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Study design. 150 verified MCQ items across three domains enter a per-model</w:t>
        <w:br/>
        <w:t>correctness gate; gated items receive counter-claims factorially varied by authority rung,</w:t>
        <w:br/>
        <w:t>endorsement direction, and—on identical items—turn structure. The confirmatory</w:t>
        <w:br/>
        <w:t>hypothesis was pre-registered before any inference (git 427d75a, 2026-06-29).</w:t>
      </w:r>
    </w:p>
    <w:p>
      <w:pPr>
        <w:pStyle w:val="H2Cont"/>
      </w:pPr>
      <w:r>
        <w:t>Items, models, and gate</w:t>
      </w:r>
    </w:p>
    <w:p>
      <w:pPr>
        <w:pStyle w:val="PARA"/>
      </w:pPr>
      <w:r>
        <w:rPr>
          <w:b w:val="0"/>
          <w:i w:val="0"/>
        </w:rPr>
        <w:t>We use 150 four-option MCQ items with verified ground truth: 50 science (ARC-Challenge</w:t>
        <w:br/>
        <w:t>[16]), 50 history (MMLU world history and prehistory [17]), and</w:t>
        <w:br/>
        <w:t>50 general-factual (TruthfulQA mc1 [18]). Six</w:t>
        <w:br/>
        <w:t>instruction-tuned open-weight models span five families and 3B–9B parameters:</w:t>
        <w:br/>
        <w:t>Qwen2.5-3B-Instruct, Llama-3.2-3B-Instruct, Phi-3.5-mini-instruct, Mistral-7B-Instruct-v0.3,</w:t>
        <w:br/>
        <w:t>Qwen2.5-7B-Instruct, and Gemma-2-9B-it, run in fp16 at temperature 0 with a fresh session per</w:t>
        <w:br/>
        <w:t>trial. Each model is analyzed only on items it answers correctly unprompted—the knowledge</w:t>
        <w:br/>
        <w:t>gate [13]—yielding 96–129 of 150 items per model (64.0–86.0%). The</w:t>
        <w:br/>
        <w:t>counter-claim asserts the most plausible distractor X (incorrect arm) or the correct answer</w:t>
        <w:br/>
        <w:t>(correct arm).</w:t>
      </w:r>
    </w:p>
    <w:p>
      <w:pPr>
        <w:pStyle w:val="H2Cont"/>
      </w:pPr>
      <w:r>
        <w:t>Manipulations</w:t>
      </w:r>
    </w:p>
    <w:p>
      <w:pPr>
        <w:pStyle w:val="PARA"/>
      </w:pPr>
      <w:r>
        <w:rPr>
          <w:b/>
          <w:i w:val="0"/>
        </w:rPr>
        <w:t>Authority rung</w:t>
      </w:r>
      <w:r>
        <w:rPr>
          <w:b w:val="0"/>
          <w:i w:val="0"/>
        </w:rPr>
        <w:t xml:space="preserve"> (wording follows [3]): </w:t>
      </w:r>
      <w:r>
        <w:rPr>
          <w:b w:val="0"/>
          <w:i/>
        </w:rPr>
        <w:t>anon</w:t>
      </w:r>
      <w:r>
        <w:rPr>
          <w:b w:val="0"/>
          <w:i w:val="0"/>
        </w:rPr>
        <w:t xml:space="preserve"> (“Someone thinks</w:t>
        <w:br/>
        <w:t xml:space="preserve">the answer is [X]”), </w:t>
      </w:r>
      <w:r>
        <w:rPr>
          <w:b w:val="0"/>
          <w:i/>
        </w:rPr>
        <w:t>low</w:t>
      </w:r>
      <w:r>
        <w:rPr>
          <w:b w:val="0"/>
          <w:i w:val="0"/>
        </w:rPr>
        <w:t xml:space="preserve"> (a high-school student), </w:t>
      </w:r>
      <w:r>
        <w:rPr>
          <w:b w:val="0"/>
          <w:i/>
        </w:rPr>
        <w:t>medium</w:t>
      </w:r>
      <w:r>
        <w:rPr>
          <w:b w:val="0"/>
          <w:i w:val="0"/>
        </w:rPr>
        <w:t xml:space="preserve"> (a graduate student),</w:t>
        <w:br/>
      </w:r>
      <w:r>
        <w:rPr>
          <w:b w:val="0"/>
          <w:i/>
        </w:rPr>
        <w:t>high</w:t>
      </w:r>
      <w:r>
        <w:rPr>
          <w:b w:val="0"/>
          <w:i w:val="0"/>
        </w:rPr>
        <w:t xml:space="preserve"> (a professor). A fifth, first-person rung (“I don't think that's right… I</w:t>
        <w:br/>
        <w:t>believe the answer is [X]” [1]) behaves as a stronger, format-mismatched</w:t>
        <w:br/>
        <w:t>manipulation: consistent with the first-person &gt; third-person effect reported by</w:t>
        <w:br/>
        <w:t>[4], it out-pushes even the professor rung in four of six models (e.g., Gemma</w:t>
        <w:br/>
        <w:t>92.2% vs. 56.6%; Mistral 84.9% vs. 46.2%). We therefore analyze it separately and</w:t>
        <w:br/>
        <w:t>exclude it from gradient tests;</w:t>
        <w:br/>
        <w:t>this and all other deviations are itemized in the repository.</w:t>
        <w:br/>
      </w:r>
      <w:r>
        <w:rPr>
          <w:b/>
          <w:i w:val="0"/>
        </w:rPr>
        <w:t>Direction</w:t>
      </w:r>
      <w:r>
        <w:rPr>
          <w:b w:val="0"/>
          <w:i w:val="0"/>
        </w:rPr>
        <w:t>: the counter-claim endorses the wrong answer X or the correct answer.</w:t>
        <w:br/>
      </w:r>
      <w:r>
        <w:rPr>
          <w:b/>
          <w:i w:val="0"/>
        </w:rPr>
        <w:t>Turn structure</w:t>
      </w:r>
      <w:r>
        <w:rPr>
          <w:b w:val="0"/>
          <w:i w:val="0"/>
        </w:rPr>
        <w:t xml:space="preserve">: in the </w:t>
      </w:r>
      <w:r>
        <w:rPr>
          <w:b w:val="0"/>
          <w:i/>
        </w:rPr>
        <w:t>two-turn</w:t>
      </w:r>
      <w:r>
        <w:rPr>
          <w:b w:val="0"/>
          <w:i w:val="0"/>
        </w:rPr>
        <w:t xml:space="preserve"> protocol the model answers (turn 1: the</w:t>
        <w:br/>
        <w:t xml:space="preserve">commitment), receives the counter-claim, and answers again; in the </w:t>
      </w:r>
      <w:r>
        <w:rPr>
          <w:b w:val="0"/>
          <w:i/>
        </w:rPr>
        <w:t>single-turn</w:t>
      </w:r>
      <w:r>
        <w:rPr>
          <w:b w:val="0"/>
          <w:i w:val="0"/>
        </w:rPr>
        <w:br/>
        <w:t>protocol the counter-claim is appended to the question and the model answers once. Items and</w:t>
        <w:br/>
        <w:t xml:space="preserve">rungs are identical across structures. Single-turn </w:t>
      </w:r>
      <w:r>
        <w:rPr>
          <w:b w:val="0"/>
          <w:i/>
        </w:rPr>
        <w:t>control</w:t>
      </w:r>
      <w:r>
        <w:rPr>
          <w:b w:val="0"/>
          <w:i w:val="0"/>
        </w:rPr>
        <w:t>-rung prompts are excluded</w:t>
        <w:br/>
        <w:t>with reason: “I don't think that's right” has no referent before any answer exists.</w:t>
        <w:br/>
      </w:r>
      <w:r>
        <w:rPr>
          <w:b/>
          <w:i w:val="0"/>
        </w:rPr>
        <w:t>Persona design (exploratory)</w:t>
      </w:r>
      <w:r>
        <w:rPr>
          <w:b w:val="0"/>
          <w:i w:val="0"/>
        </w:rPr>
        <w:t>: the generic ladder vs. domain-matched institutional</w:t>
        <w:br/>
        <w:t>personas (e.g., undergraduate → PhD researcher → Nobel laureate), re-run on all six</w:t>
        <w:br/>
        <w:t>models.</w:t>
      </w:r>
    </w:p>
    <w:p>
      <w:pPr>
        <w:pStyle w:val="H2Cont"/>
      </w:pPr>
      <w:r>
        <w:t>Measurement and validation</w:t>
      </w:r>
    </w:p>
    <w:p>
      <w:pPr>
        <w:pStyle w:val="PARA"/>
      </w:pPr>
      <w:r>
        <w:rPr>
          <w:b w:val="0"/>
          <w:i w:val="0"/>
        </w:rPr>
        <w:t>The behavioral outcome is answer revision. In two-turn, a flip is turn-2 letter turn-1</w:t>
        <w:br/>
        <w:t>letter (given the gate, equivalently leaving the correct answer); in single-turn, caving is</w:t>
        <w:br/>
        <w:t>answering incorrectly (loose metric) or adopting X specifically (strict; both reported).</w:t>
        <w:br/>
        <w:t>Outputs are single letters enforced by the system prompt (0.0% extraction failures in both</w:t>
        <w:br/>
        <w:t>structures). A–D log-probabilities are logged at both turns for descriptive belief analyses.</w:t>
        <w:br/>
        <w:t>All main-run responses were additionally labeled by an LLM judge (Gemini 2.5 Flash) with a</w:t>
        <w:br/>
        <w:t>two-stage substance-matching rubric [2]; judge labels agree with the</w:t>
        <w:br/>
        <w:t>deterministic letter comparison on 99.8% of 5,497 trials and with n=60 human annotations</w:t>
        <w:br/>
        <w:t>at κ=0.967 (counting the judge's single API error as a disagreement; κ=1.0</w:t>
        <w:br/>
        <w:t xml:space="preserve">excluding it). </w:t>
      </w:r>
      <w:r>
        <w:rPr>
          <w:b w:val="0"/>
          <w:i/>
        </w:rPr>
        <w:t>The human validation covers the main two-turn experiment only</w:t>
      </w:r>
      <w:r>
        <w:rPr>
          <w:b w:val="0"/>
          <w:i w:val="0"/>
        </w:rPr>
        <w:t>; the</w:t>
        <w:br/>
        <w:t>single-turn arm uses the deterministic metric, whose format integrity is checked by the</w:t>
        <w:br/>
        <w:t>correct-endorsement arm (93.6–100% accuracy retained).</w:t>
      </w:r>
    </w:p>
    <w:p>
      <w:pPr>
        <w:pStyle w:val="H2Cont"/>
      </w:pPr>
      <w:r>
        <w:t>Pre-registration and statistics</w:t>
      </w:r>
    </w:p>
    <w:p>
      <w:pPr>
        <w:pStyle w:val="PARA"/>
      </w:pPr>
      <w:r>
        <w:rPr>
          <w:b w:val="0"/>
          <w:i w:val="0"/>
        </w:rPr>
        <w:t>The analysis plan—one confirmatory test (the authority-tier × direction</w:t>
        <w:br/>
        <w:t>interaction), the gate, and an exploratory family with BH correction—was committed before</w:t>
        <w:br/>
        <w:t>any inference. Deviations are disclosed per [19]; the consequential ones are:</w:t>
        <w:br/>
        <w:t>the pre-specified mixed-effects model was unstable with six model clusters, so we report</w:t>
        <w:br/>
        <w:t>fixed-effects logistic coefficients with per-model paired tests carrying the inferential</w:t>
        <w:br/>
        <w:t>weight; the anonymous rung and the entire single-turn arm were post-hoc additions</w:t>
        <w:br/>
        <w:t>(timestamped in version control); and the judge model version changed. Trend tests are</w:t>
        <w:br/>
        <w:t>Cochran–Armitage (CA); paired comparisons are exact McNemar tests; rates carry Wilson 95%</w:t>
        <w:br/>
        <w:t>intervals; the pre-registered exploratory family and the post-hoc McNemar family are BH</w:t>
        <w:br/>
        <w:t>corrected separately. Every statistic regenerates from src/paper_numbers.py in the</w:t>
        <w:br/>
        <w:t>repository.</w:t>
      </w:r>
    </w:p>
    <w:p>
      <w:pPr>
        <w:pStyle w:val="H1ListSpace"/>
      </w:pPr>
      <w:r>
        <w:t>RESULTS</w:t>
      </w:r>
    </w:p>
    <w:p>
      <w:pPr>
        <w:pStyle w:val="H2Cont"/>
      </w:pPr>
      <w:r>
        <w:t>The pre-registered authority gradient is not supported</w:t>
      </w:r>
    </w:p>
    <w:p>
      <w:pPr>
        <w:pStyle w:val="PARA"/>
      </w:pPr>
      <w:r>
        <w:rPr>
          <w:b w:val="0"/>
          <w:i w:val="0"/>
        </w:rPr>
        <w:t>Pooled over the four matched rungs (anon–high) and both arms (n=5,504 gated two-turn</w:t>
        <w:br/>
        <w:t>trials), the pre-registered tier × direction interaction is null (β=+0.010,</w:t>
        <w:br/>
        <w:t>SE 0.077, p=0.90), as is the tier main effect (β=+0.083, p=0.21).</w:t>
        <w:br/>
        <w:t>Fig. 2 shows why: both arms are nearly flat across rungs, separated by a</w:t>
        <w:br/>
        <w:t>chasm. We report this as a failed confirmatory hypothesis. It is not, however, a blanket</w:t>
        <w:br/>
        <w:t>“authority does nothing”: Sections Section 4.4 and Section 4.7 report</w:t>
        <w:br/>
        <w:t>significant but small, sign-inconsistent, model-dependent authority effects that a single</w:t>
        <w:br/>
        <w:t>pooled coefficient correctly refuses to summarize as one gradient.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9923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nteraction_nu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99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The pre-registered interaction is null: accuracy retained after pushback by</w:t>
        <w:br/>
        <w:t>authority rung and endorsement direction, pooled over six models (gated trials; Wilson 95%</w:t>
        <w:br/>
        <w:t>intervals). The direction gap dwarfs any tier structure.</w:t>
      </w:r>
    </w:p>
    <w:p>
      <w:pPr>
        <w:pStyle w:val="H2Cont"/>
      </w:pPr>
      <w:r>
        <w:t>Commitment structure is the dominant factor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551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mmitment_penal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5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The commitment penalty. Caving rate on the incorrect-endorsement arm for identical</w:t>
        <w:br/>
        <w:t>items and authority rungs (anon–high), with and without a prior self-commitment turn.</w:t>
        <w:br/>
        <w:t>Amplification factors above bars; paired exact McNemar p&lt;10⁻¹⁵ for every model;</w:t>
        <w:br/>
        <w:t>n=384–516 pairs per model (gated subset).</w:t>
      </w:r>
    </w:p>
    <w:p>
      <w:pPr>
        <w:pStyle w:val="TableTitle"/>
      </w:pPr>
      <w:r>
        <w:t>TABLE 1.  Commitment penalty per model (incorrect arm, rungs anon–high, identical items). 2T = two-turn flip rate; 1T = single-turn caving; b10:b01 = discordant pairs (2T-only : 1T-only), exact McNemar; final column: strict adopted-X rates (2T/1T).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434"/>
          </w:tcPr>
          <w:p>
            <w:r/>
            <w:r>
              <w:rPr>
                <w:b/>
                <w:sz w:val="14"/>
              </w:rPr>
              <w:t>2T%</w:t>
            </w:r>
          </w:p>
        </w:tc>
        <w:tc>
          <w:tcPr>
            <w:tcW w:type="dxa" w:w="1434"/>
          </w:tcPr>
          <w:p>
            <w:r/>
            <w:r>
              <w:rPr>
                <w:b/>
                <w:sz w:val="14"/>
              </w:rPr>
              <w:t>1T%</w:t>
            </w:r>
          </w:p>
        </w:tc>
        <w:tc>
          <w:tcPr>
            <w:tcW w:type="dxa" w:w="1434"/>
          </w:tcPr>
          <w:p>
            <w:r/>
            <w:r>
              <w:rPr>
                <w:b/>
                <w:sz w:val="14"/>
              </w:rPr>
              <w:t>Ampl.</w:t>
            </w:r>
          </w:p>
        </w:tc>
        <w:tc>
          <w:tcPr>
            <w:tcW w:type="dxa" w:w="1434"/>
          </w:tcPr>
          <w:p>
            <w:r/>
            <w:r>
              <w:rPr>
                <w:b/>
                <w:sz w:val="14"/>
              </w:rPr>
              <w:t>b10:b01</w:t>
            </w:r>
          </w:p>
        </w:tc>
        <w:tc>
          <w:tcPr>
            <w:tcW w:type="dxa" w:w="1434"/>
          </w:tcPr>
          <w:p>
            <w:r/>
            <w:r>
              <w:rPr>
                <w:b/>
                <w:sz w:val="14"/>
              </w:rPr>
              <w:t>p</w:t>
            </w:r>
          </w:p>
        </w:tc>
        <w:tc>
          <w:tcPr>
            <w:tcW w:type="dxa" w:w="1434"/>
          </w:tcPr>
          <w:p>
            <w:r/>
            <w:r>
              <w:rPr>
                <w:b/>
                <w:sz w:val="14"/>
              </w:rPr>
              <w:t>X 2T/1T%</w:t>
            </w:r>
          </w:p>
        </w:tc>
      </w:tr>
      <w:tr>
        <w:tc>
          <w:tcPr>
            <w:tcW w:type="dxa" w:w="1434"/>
          </w:tcPr>
          <w:p>
            <w:r/>
            <w:r>
              <w:rPr>
                <w:sz w:val="14"/>
              </w:rPr>
              <w:t>Qwen2.5-3B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81.2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26.7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3.0×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260:7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&lt;10⁻¹⁵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55.4/20.3</w:t>
            </w:r>
          </w:p>
        </w:tc>
      </w:tr>
      <w:tr>
        <w:tc>
          <w:tcPr>
            <w:tcW w:type="dxa" w:w="1434"/>
          </w:tcPr>
          <w:p>
            <w:r/>
            <w:r>
              <w:rPr>
                <w:sz w:val="14"/>
              </w:rPr>
              <w:t>Llama-3.2-3B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96.1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44.3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2.2×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200:1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&lt;10⁻¹⁵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93.2/33.3</w:t>
            </w:r>
          </w:p>
        </w:tc>
      </w:tr>
      <w:tr>
        <w:tc>
          <w:tcPr>
            <w:tcW w:type="dxa" w:w="1434"/>
          </w:tcPr>
          <w:p>
            <w:r/>
            <w:r>
              <w:rPr>
                <w:sz w:val="14"/>
              </w:rPr>
              <w:t>Phi-3.5-mini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75.6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39.7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1.9×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178:11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&lt;10⁻¹⁵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70.9/31.9</w:t>
            </w:r>
          </w:p>
        </w:tc>
      </w:tr>
      <w:tr>
        <w:tc>
          <w:tcPr>
            <w:tcW w:type="dxa" w:w="1434"/>
          </w:tcPr>
          <w:p>
            <w:r/>
            <w:r>
              <w:rPr>
                <w:sz w:val="14"/>
              </w:rPr>
              <w:t>Mistral-7B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43.9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10.4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4.2×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155:13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&lt;10⁻¹⁵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29.0/6.1</w:t>
            </w:r>
          </w:p>
        </w:tc>
      </w:tr>
      <w:tr>
        <w:tc>
          <w:tcPr>
            <w:tcW w:type="dxa" w:w="1434"/>
          </w:tcPr>
          <w:p>
            <w:r/>
            <w:r>
              <w:rPr>
                <w:sz w:val="14"/>
              </w:rPr>
              <w:t>Qwen2.5-7B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97.2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10.4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9.3×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434:0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&lt;10⁻¹⁵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90.2/8.0</w:t>
            </w:r>
          </w:p>
        </w:tc>
      </w:tr>
      <w:tr>
        <w:tc>
          <w:tcPr>
            <w:tcW w:type="dxa" w:w="1434"/>
          </w:tcPr>
          <w:p>
            <w:r/>
            <w:r>
              <w:rPr>
                <w:sz w:val="14"/>
              </w:rPr>
              <w:t>Gemma-2-9B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45.5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20.3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2.2×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147:17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&lt;10⁻¹⁵</w:t>
            </w:r>
          </w:p>
        </w:tc>
        <w:tc>
          <w:tcPr>
            <w:tcW w:type="dxa" w:w="1434"/>
          </w:tcPr>
          <w:p>
            <w:r/>
            <w:r>
              <w:rPr>
                <w:sz w:val="14"/>
              </w:rPr>
              <w:t>43.8/19.0</w:t>
            </w:r>
          </w:p>
        </w:tc>
      </w:tr>
    </w:tbl>
    <w:p>
      <w:pPr>
        <w:pStyle w:val="PARAIndent"/>
      </w:pPr>
      <w:r>
        <w:rPr>
          <w:b w:val="0"/>
          <w:i w:val="0"/>
        </w:rPr>
        <w:t>Table 1 and Fig. 3 contain the central result. On the</w:t>
        <w:br/>
        <w:t>same gated items and authority rungs, adding one element—the model's own prior answer—%</w:t>
        <w:br/>
        <w:t>multiplies caving by 1.9–9.3× (median 2.6×). The effect is unanimous and</w:t>
        <w:br/>
        <w:t>decisive (paired exact McNemar, all p&lt;10⁻¹⁵; all q&lt;10⁻¹⁴ within the post-hoc BH</w:t>
        <w:br/>
        <w:t>family) and is not a metric artifact: under the strict criterion (adopting X itself rather</w:t>
        <w:br/>
        <w:t>than merely leaving the correct answer) amplification is as large or larger (Qwen2.5-7B:</w:t>
        <w:br/>
        <w:t>90.2%/8.0%=11.3×). Nor is single-turn caving mere noise—59–93% of single-turn</w:t>
        <w:br/>
        <w:t>errors adopt X itself. The most suggestible models are the most structure-sensitive:</w:t>
        <w:br/>
        <w:t>Qwen2.5-7B answers 89.6% of challenged items correctly when the counter-claim arrives with</w:t>
        <w:br/>
        <w:t>the question, yet caves on 97.2% of the same items after committing (434 discordant pairs in</w:t>
        <w:br/>
        <w:t>the commitment direction, zero in reverse). Both resisters (Mistral, Gemma) show the same</w:t>
        <w:br/>
        <w:t>effect at lower levels. Because the two-turn protocol bundles self-commitment with being</w:t>
        <w:br/>
        <w:t xml:space="preserve">socially contradicted, we attribute the effect to </w:t>
      </w:r>
      <w:r>
        <w:rPr>
          <w:b w:val="0"/>
          <w:i/>
        </w:rPr>
        <w:t>commitment structure</w:t>
      </w:r>
      <w:r>
        <w:rPr>
          <w:b w:val="0"/>
          <w:i w:val="0"/>
        </w:rPr>
        <w:t xml:space="preserve"> (the</w:t>
        <w:br/>
        <w:t>conversational configuration) rather than commitment per se; Section 6</w:t>
        <w:br/>
        <w:t>details the decomposition this design cannot make.</w:t>
      </w:r>
    </w:p>
    <w:p>
      <w:pPr>
        <w:pStyle w:val="H2Cont"/>
      </w:pPr>
      <w:r>
        <w:t>Direction: incorrect endorsements devastate; correct ones barely help</w:t>
      </w:r>
    </w:p>
    <w:p>
      <w:pPr>
        <w:pStyle w:val="PARA"/>
      </w:pPr>
      <w:r>
        <w:rPr>
          <w:b w:val="0"/>
          <w:i w:val="0"/>
        </w:rPr>
        <w:t>The direction main effect is the second largest in the data: β=3.53 (SE 0.15,</w:t>
        <w:br/>
        <w:t>p&lt;10⁻¹⁵). Per model, incorrect-arm flip rates (anon–high) span 43.9–97.2%, while</w:t>
        <w:br/>
        <w:t>correct-arm rates span 0.0–20.0% (Phi 0.0%, Gemma 0.4%, Qwen2.5-7B 2.4%, Qwen2.5-3B</w:t>
        <w:br/>
        <w:t>8.0%, Llama 16.1%, Mistral 20.0%; Fig. 4). This is the</w:t>
        <w:br/>
        <w:t>regressive/progressive asymmetry of [2], and it doubles as a rebuttal to a</w:t>
        <w:br/>
        <w:t>pure recency account of the two-turn effect: a last-message-wins model would gain from</w:t>
        <w:br/>
        <w:t>correct endorsements as much as it loses from incorrect 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051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irection_asymmet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5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Direction asymmetry per model: flip rate under incorrect endorsement (regressive)</w:t>
        <w:br/>
        <w:t>vs. correct endorsement (progressive), rungs anon–high pooled (gated trials).</w:t>
      </w:r>
    </w:p>
    <w:p>
      <w:pPr>
        <w:pStyle w:val="H2Cont"/>
      </w:pPr>
      <w:r>
        <w:t>Presence achieves most of the effect; prestige is a small, sign-inconsistent modulation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778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model_ladd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77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Two-turn flip rate by authority rung, per model (incorrect arm; gated; Wilson 95%</w:t>
        <w:br/>
        <w:t>intervals). The anonymous rung already produces most of each model's effect; the first-person</w:t>
        <w:br/>
        <w:t>control rung is plotted as a separate, stronger, format-mismatched manipulation.</w:t>
      </w:r>
    </w:p>
    <w:p>
      <w:pPr>
        <w:pStyle w:val="TableTitle"/>
      </w:pPr>
      <w:r>
        <w:t>TABLE 2.  Anonymous vs. professor rung (two-turn, incorrect arm): paired exact McNemar per model on shared gated items. Positive Δ = professor pushes harder than an anonymous “someone.” q = BH within the post-hoc McNemar family.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673"/>
          </w:tcPr>
          <w:p>
            <w:r/>
            <w:r>
              <w:rPr>
                <w:b/>
                <w:sz w:val="14"/>
              </w:rPr>
              <w:t>anon%</w:t>
            </w:r>
          </w:p>
        </w:tc>
        <w:tc>
          <w:tcPr>
            <w:tcW w:type="dxa" w:w="1673"/>
          </w:tcPr>
          <w:p>
            <w:r/>
            <w:r>
              <w:rPr>
                <w:b/>
                <w:sz w:val="14"/>
              </w:rPr>
              <w:t>high%</w:t>
            </w:r>
          </w:p>
        </w:tc>
        <w:tc>
          <w:tcPr>
            <w:tcW w:type="dxa" w:w="1673"/>
          </w:tcPr>
          <w:p>
            <w:r/>
            <w:r>
              <w:rPr>
                <w:b/>
                <w:sz w:val="14"/>
              </w:rPr>
              <w:t>Δpp</w:t>
            </w:r>
          </w:p>
        </w:tc>
        <w:tc>
          <w:tcPr>
            <w:tcW w:type="dxa" w:w="1673"/>
          </w:tcPr>
          <w:p>
            <w:r/>
            <w:r>
              <w:rPr>
                <w:b/>
                <w:sz w:val="14"/>
              </w:rPr>
              <w:t>p</w:t>
            </w:r>
          </w:p>
        </w:tc>
        <w:tc>
          <w:tcPr>
            <w:tcW w:type="dxa" w:w="1673"/>
          </w:tcPr>
          <w:p>
            <w:r/>
            <w:r>
              <w:rPr>
                <w:b/>
                <w:sz w:val="14"/>
              </w:rPr>
              <w:t>q</w:t>
            </w:r>
          </w:p>
        </w:tc>
      </w:tr>
      <w:tr>
        <w:tc>
          <w:tcPr>
            <w:tcW w:type="dxa" w:w="1673"/>
          </w:tcPr>
          <w:p>
            <w:r/>
            <w:r>
              <w:rPr>
                <w:sz w:val="14"/>
              </w:rPr>
              <w:t>Qwen2.5-3B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85.3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80.2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−5.2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0.146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0.175</w:t>
            </w:r>
          </w:p>
        </w:tc>
      </w:tr>
      <w:tr>
        <w:tc>
          <w:tcPr>
            <w:tcW w:type="dxa" w:w="1673"/>
          </w:tcPr>
          <w:p>
            <w:r/>
            <w:r>
              <w:rPr>
                <w:sz w:val="14"/>
              </w:rPr>
              <w:t>Llama-3.2-3B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96.9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97.9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+1.0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1.000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673"/>
          </w:tcPr>
          <w:p>
            <w:r/>
            <w:r>
              <w:rPr>
                <w:sz w:val="14"/>
              </w:rPr>
              <w:t>Phi-3.5-mini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71.6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94.0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+22.4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3.0×10⁻⁸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1.2×10⁻⁷</w:t>
            </w:r>
          </w:p>
        </w:tc>
      </w:tr>
      <w:tr>
        <w:tc>
          <w:tcPr>
            <w:tcW w:type="dxa" w:w="1673"/>
          </w:tcPr>
          <w:p>
            <w:r/>
            <w:r>
              <w:rPr>
                <w:sz w:val="14"/>
              </w:rPr>
              <w:t>Mistral-7B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63.2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46.2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−17.0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9×10⁻⁴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1.2×10⁻³</w:t>
            </w:r>
          </w:p>
        </w:tc>
      </w:tr>
      <w:tr>
        <w:tc>
          <w:tcPr>
            <w:tcW w:type="dxa" w:w="1673"/>
          </w:tcPr>
          <w:p>
            <w:r/>
            <w:r>
              <w:rPr>
                <w:sz w:val="14"/>
              </w:rPr>
              <w:t>Qwen2.5-7B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96.0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99.2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+3.2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0.219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0.239</w:t>
            </w:r>
          </w:p>
        </w:tc>
      </w:tr>
      <w:tr>
        <w:tc>
          <w:tcPr>
            <w:tcW w:type="dxa" w:w="1673"/>
          </w:tcPr>
          <w:p>
            <w:r/>
            <w:r>
              <w:rPr>
                <w:sz w:val="14"/>
              </w:rPr>
              <w:t>Gemma-2-9B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38.8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56.6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+17.8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3.4×10⁻⁵</w:t>
            </w:r>
          </w:p>
        </w:tc>
        <w:tc>
          <w:tcPr>
            <w:tcW w:type="dxa" w:w="1673"/>
          </w:tcPr>
          <w:p>
            <w:r/>
            <w:r>
              <w:rPr>
                <w:sz w:val="14"/>
              </w:rPr>
              <w:t>1.0×10⁻⁴</w:t>
            </w:r>
          </w:p>
        </w:tc>
      </w:tr>
    </w:tbl>
    <w:p>
      <w:pPr>
        <w:pStyle w:val="PARAIndent"/>
      </w:pPr>
      <w:r>
        <w:rPr>
          <w:b w:val="0"/>
          <w:i w:val="0"/>
        </w:rPr>
        <w:t>An anonymous “someone thinks the answer is X” already produces 38.8–96.9% caving</w:t>
        <w:br/>
        <w:t>(Fig. 5): the presence of a counter-claim, not its source, does most of</w:t>
        <w:br/>
        <w:t>the work, consistent with [4] and with saturation under generic pressure</w:t>
        <w:br/>
        <w:t>[8]. The paired analysis (Table 2) then refines the</w:t>
        <w:br/>
        <w:t>presence-only story in a way average-level analyses miss. In the three ceiling-saturated</w:t>
        <w:br/>
        <w:t>models, anon ≈ professor because nothing can differ at 96–98%. In all three models</w:t>
        <w:br/>
        <w:t>with headroom, the professor rung differs from the anonymous rung significantly and in</w:t>
        <w:br/>
      </w:r>
      <w:r>
        <w:rPr>
          <w:b w:val="0"/>
          <w:i/>
        </w:rPr>
        <w:t>inconsistent directions</w:t>
      </w:r>
      <w:r>
        <w:rPr>
          <w:b w:val="0"/>
          <w:i w:val="0"/>
        </w:rPr>
        <w:t>: +22.4 pp (Phi), +17.8 pp (Gemma), -17.0 pp</w:t>
        <w:br/>
        <w:t>(Mistral—the nameless source out-pushes the professor). This ±17–22 pp behavioral</w:t>
        <w:br/>
        <w:t>modulation contrasts with the ≤4.4% expertise effect Wang et al. report from</w:t>
        <w:br/>
        <w:t>single-turn logits: under commitment pressure, authority framing does move behavior in some</w:t>
        <w:br/>
        <w:t>models—just not in the universal, monotone way the graded-authority hypothesis presumed.</w:t>
      </w:r>
    </w:p>
    <w:p>
      <w:pPr>
        <w:pStyle w:val="PARAIndent"/>
      </w:pPr>
      <w:r>
        <w:rPr>
          <w:b w:val="0"/>
          <w:i w:val="0"/>
        </w:rPr>
        <w:t>Trend tests tell the same two-sided story. Within named personas (low→high), a positive</w:t>
        <w:br/>
        <w:t>CA trend survives BH in 4/6 models (Phi z=6.09, q=2.1×10⁻⁹; Mistral</w:t>
        <w:br/>
        <w:t>z=2.41, q=0.024; Gemma z=2.37, q=0.025; Qwen2.5-7B z=2.07, q=0.047)—%</w:t>
        <w:br/>
        <w:t xml:space="preserve">yet including the anonymous floor flips Mistral's trend to significantly </w:t>
      </w:r>
      <w:r>
        <w:rPr>
          <w:b w:val="0"/>
          <w:i/>
        </w:rPr>
        <w:t>negative</w:t>
      </w:r>
      <w:r>
        <w:rPr>
          <w:b w:val="0"/>
          <w:i w:val="0"/>
        </w:rPr>
        <w:br/>
        <w:t>(z=-2.10, p=0.036), and no coding produces a trend in the other two models. In the</w:t>
        <w:br/>
        <w:t>single-turn structure no individual model shows a reliable gradient (per-model CA, all</w:t>
        <w:br/>
        <w:t>p≥0.087); pooled with model fixed effects there is a small positive trend (+0.094</w:t>
        <w:br/>
        <w:t>log-odds per rung, p=0.024) whose raw pattern (24.0, 20.8, 26.6, 27.3%) is non-monotonic.</w:t>
        <w:br/>
        <w:t>We report this pooled trend so that “the gradient fails” is not read as “flat</w:t>
        <w:br/>
        <w:t>everywhere.”</w:t>
      </w:r>
    </w:p>
    <w:p>
      <w:pPr>
        <w:pStyle w:val="H2Cont"/>
      </w:pPr>
      <w:r>
        <w:t>The model's own confidence does not protect it</w:t>
      </w:r>
    </w:p>
    <w:p>
      <w:pPr>
        <w:pStyle w:val="PARA"/>
      </w:pPr>
      <w:r>
        <w:rPr>
          <w:b w:val="0"/>
          <w:i w:val="0"/>
        </w:rPr>
        <w:t>If capitulation were rational belief updating, models that were more confident before the</w:t>
        <w:br/>
        <w:t>challenge should resist more. They do not (Fig. 6). Flip probability is</w:t>
        <w:br/>
        <w:t>non-monotonic across pre-pressure belief-margin quintiles (82.0, 55.6, 73.3, 69.6, 83.5%;</w:t>
        <w:br/>
        <w:t>pooled n=2,752), and the pooled logistic slope on the turn-1 margin is slightly</w:t>
        <w:br/>
      </w:r>
      <w:r>
        <w:rPr>
          <w:b w:val="0"/>
          <w:i/>
        </w:rPr>
        <w:t>positive</w:t>
      </w:r>
      <w:r>
        <w:rPr>
          <w:b w:val="0"/>
          <w:i w:val="0"/>
        </w:rPr>
        <w:t xml:space="preserve"> (+0.012 per logit, p=0.045)—the opposite of protective. The</w:t>
        <w:br/>
        <w:t>highest-confidence quintile (margins 20.3–34.4 logits) still flips 83.5% of the time.</w:t>
        <w:br/>
        <w:t>Post-pressure belief margins corroborate the behavioral picture descriptively; we do not</w:t>
        <w:br/>
        <w:t>formalize a behavior–belief model here (a signal-detection analysis failed in this data and</w:t>
        <w:br/>
        <w:t>is deferred).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89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onfid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Prior confidence does not protect: two-turn flip rate under incorrect endorsement</w:t>
        <w:br/>
        <w:t>by quintile of the model's own pre-pressure belief margin, pooled over models (n=2,752</w:t>
        <w:br/>
        <w:t>gated trials; Wilson 95% intervals).</w:t>
      </w:r>
    </w:p>
    <w:p>
      <w:pPr>
        <w:pStyle w:val="H2Cont"/>
      </w:pPr>
      <w:r>
        <w:t>Susceptibility is strongly model-dependent and does not track scale</w:t>
      </w:r>
    </w:p>
    <w:p>
      <w:pPr>
        <w:pStyle w:val="PARA"/>
      </w:pPr>
      <w:r>
        <w:rPr>
          <w:b w:val="0"/>
          <w:i w:val="0"/>
        </w:rPr>
        <w:t>Overall two-turn incorrect-arm caving (anon–high) spans 43.9% (Mistral-7B) to 97.2%</w:t>
        <w:br/>
        <w:t>(Qwen2.5-7B). The 7B Qwen saturates while the 9B Gemma resists (45.5%); the two 3B models</w:t>
        <w:br/>
        <w:t>differ by 15 pp. Thirteen of fifteen pairwise model differences are significant after BH</w:t>
        <w:br/>
        <w:t>(exact McNemar on shared items; exceptions: Gemma–Mistral q=0.41, Llama–Qwen2.5-7B</w:t>
        <w:br/>
        <w:t>q=0.073), and a Kruskal–Wallis test across models is decisive (q&lt;10⁻¹⁵). This</w:t>
        <w:br/>
        <w:t>replicates the model-dependence of [7, 8] and cautions against</w:t>
        <w:br/>
        <w:t>benchmarking “LLM sycophancy” with any single model.</w:t>
      </w:r>
    </w:p>
    <w:p>
      <w:pPr>
        <w:pStyle w:val="H2Cont"/>
      </w:pPr>
      <w:r>
        <w:t>Exploratory: institutional personas and domain moderation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778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eneric_vs_doma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77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>Exploratory persona A/B: two-turn flip rates under the generic ladder vs.</w:t>
        <w:br/>
        <w:t>domain-matched institutional personas (incorrect arm; gated). Institutional personas give</w:t>
        <w:br/>
        <w:t>Gemma a clean dose–response (43.4→64.3→76.0%); Phi's non-monotonicity (medium &gt;</w:t>
        <w:br/>
        <w:t>high) remains visible.</w:t>
      </w:r>
    </w:p>
    <w:p>
      <w:pPr>
        <w:pStyle w:val="PARAIndent"/>
      </w:pPr>
      <w:r>
        <w:rPr>
          <w:b w:val="0"/>
          <w:i w:val="0"/>
        </w:rPr>
        <w:t>Re-running the ladder with domain-matched institutional personas—the design that</w:t>
        <w:br/>
        <w:t>[6] argues is required for authority grading—strengthens the graded belief</w:t>
        <w:br/>
        <w:t>trend in Gemma (Spearman ρ=-0.254, p&lt;10⁻⁶), Llama (-0.236), Phi</w:t>
        <w:br/>
        <w:t>(-0.318), and Qwen2.5-3B (-0.173), leaves Qwen2.5-7B marginal (-0.107, p=0.038), and</w:t>
        <w:br/>
        <w:t>yields no significant trend in Mistral (-0.089, p=0.11)—the same model whose</w:t>
        <w:br/>
        <w:t>generic-ladder behavioral trend was significant; persona-design effects are themselves</w:t>
        <w:br/>
        <w:t>model-dependent. Behaviorally, Gemma acquires a clean dose–response</w:t>
        <w:br/>
        <w:t>(Fig. 7). The pre-registered domain-moderation test is significant after</w:t>
        <w:br/>
        <w:t>correction (three-way tier × direction × domain likelihood-ratio</w:t>
        <w:br/>
        <w:t>χ²_2=6.96, q=0.039), indicating the (small) tier structure differs across</w:t>
        <w:br/>
        <w:t xml:space="preserve">science/history/factual items. Finally, post-challenge answer entropy </w:t>
      </w:r>
      <w:r>
        <w:rPr>
          <w:b w:val="0"/>
          <w:i/>
        </w:rPr>
        <w:t>rises</w:t>
      </w:r>
      <w:r>
        <w:rPr>
          <w:b w:val="0"/>
          <w:i w:val="0"/>
        </w:rPr>
        <w:t xml:space="preserve"> in 23 of</w:t>
        <w:br/>
        <w:t>24 model × rung cells (mean Δ H from +0.06 to +0.46; single exception</w:t>
        <w:br/>
        <w:t xml:space="preserve">-0.011): our models become </w:t>
      </w:r>
      <w:r>
        <w:rPr>
          <w:b w:val="0"/>
          <w:i/>
        </w:rPr>
        <w:t>less</w:t>
      </w:r>
      <w:r>
        <w:rPr>
          <w:b w:val="0"/>
          <w:i w:val="0"/>
        </w:rPr>
        <w:t xml:space="preserve"> certain when caving. The confident-error signature</w:t>
        <w:br/>
        <w:t>reported for reasoning models under single-turn logit measurement [3] does not</w:t>
        <w:br/>
        <w:t>appear in this non-reasoning, two-turn, behavioral setting—a scope boundary, not a</w:t>
        <w:br/>
        <w:t>contradiction.</w:t>
      </w:r>
    </w:p>
    <w:p>
      <w:pPr>
        <w:pStyle w:val="H1ListSpace"/>
      </w:pPr>
      <w:r>
        <w:t>DISCUSSION</w:t>
      </w:r>
    </w:p>
    <w:p>
      <w:pPr>
        <w:pStyle w:val="PARA"/>
      </w:pPr>
      <w:r>
        <w:rPr>
          <w:b/>
          <w:i w:val="0"/>
        </w:rPr>
        <w:t>What actually governs capitulation.</w:t>
      </w:r>
      <w:r>
        <w:rPr>
          <w:b w:val="0"/>
          <w:i w:val="0"/>
        </w:rPr>
        <w:t xml:space="preserve"> Ordered by effect size in our data:</w:t>
        <w:br/>
        <w:t>conversational structure (1.9–9.3×), endorsement direction (|β|=3.5),</w:t>
        <w:br/>
        <w:t>counter-claim presence (38.8–96.9% at the anonymous floor), and only then source</w:t>
        <w:br/>
        <w:t>authority—a ±17–22 pp, sign-inconsistent, model-dependent modulation. For evaluation</w:t>
        <w:br/>
        <w:t>practice this inverts the usual emphasis: two benchmarks that differ in whether the model</w:t>
        <w:br/>
        <w:t>answers before being challenged will disagree by multiples, while varying the challenger's</w:t>
        <w:br/>
        <w:t>credentials within one structure moves results by at most tens of points, in a direction</w:t>
        <w:br/>
        <w:t>that depends on the model.</w:t>
      </w:r>
    </w:p>
    <w:p>
      <w:pPr>
        <w:pStyle w:val="PARAIndent"/>
      </w:pPr>
      <w:r>
        <w:rPr>
          <w:b/>
          <w:i w:val="0"/>
        </w:rPr>
        <w:t>Reconciling the authority literature.</w:t>
      </w:r>
      <w:r>
        <w:rPr>
          <w:b w:val="0"/>
          <w:i w:val="0"/>
        </w:rPr>
        <w:t xml:space="preserve"> Our failed gradient does not overturn</w:t>
        <w:br/>
        <w:t>[3]: their protocol differs from ours on four axes (question-then-hint logit</w:t>
        <w:br/>
        <w:t>measurement, domain-matched institutional personas, math/legal/medical items, partly</w:t>
        <w:br/>
        <w:t>reasoning models), and our single-turn arm shows their result does not transfer to our</w:t>
        <w:br/>
        <w:t xml:space="preserve">items and models even </w:t>
      </w:r>
      <w:r>
        <w:rPr>
          <w:b w:val="0"/>
          <w:i/>
        </w:rPr>
        <w:t>without</w:t>
      </w:r>
      <w:r>
        <w:rPr>
          <w:b w:val="0"/>
          <w:i w:val="0"/>
        </w:rPr>
        <w:t xml:space="preserve"> commitment (no per-model single-turn gradient). The</w:t>
        <w:br/>
        <w:t xml:space="preserve">difference is therefore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explained by turn structure alone and remains confounded</w:t>
        <w:br/>
        <w:t>across personas, domains, models, and measurement—an unresolved difference, not a</w:t>
        <w:br/>
        <w:t>refutation. Consistent with [6], institutional personas partially restore</w:t>
        <w:br/>
        <w:t>grading (3/6 models); consistent with [4], generic expertise framing contributes</w:t>
        <w:br/>
        <w:t>little on average. The paired tests add what both miss: where models have headroom,</w:t>
        <w:br/>
        <w:t xml:space="preserve">authority framing has real behavioral effects </w:t>
      </w:r>
      <w:r>
        <w:rPr>
          <w:b w:val="0"/>
          <w:i/>
        </w:rPr>
        <w:t>of both signs</w:t>
      </w:r>
      <w:r>
        <w:rPr>
          <w:b w:val="0"/>
          <w:i w:val="0"/>
        </w:rPr>
        <w:t>. Mistral's</w:t>
        <w:br/>
        <w:t>anonymous-beats-professor pattern suggests some models treat unattributed disagreement as</w:t>
        <w:br/>
        <w:t>stronger evidence than attributed authority—speculative, and worth mechanistic follow-up.</w:t>
      </w:r>
    </w:p>
    <w:p>
      <w:pPr>
        <w:pStyle w:val="PARAIndent"/>
      </w:pPr>
      <w:r>
        <w:rPr>
          <w:b/>
          <w:i w:val="0"/>
        </w:rPr>
        <w:t>Commitment structure and deployment.</w:t>
      </w:r>
      <w:r>
        <w:rPr>
          <w:b w:val="0"/>
          <w:i w:val="0"/>
        </w:rPr>
        <w:t xml:space="preserve"> The commitment penalty has a direct product</w:t>
        <w:br/>
        <w:t>reading: an assistant that has already answered is 2–9× easier to talk out of a</w:t>
        <w:br/>
        <w:t>correct answer than one considering the objection alongside the question. Pipelines that</w:t>
        <w:br/>
        <w:t>elicit an answer and then let users push back—chat interfaces, agent loops with critique</w:t>
        <w:br/>
        <w:t>steps—sit structurally in the high-caving regime; re-asking the question with the objection</w:t>
        <w:br/>
        <w:t>included is structurally protective. Notably, the human analogy inverts: public commitment</w:t>
        <w:br/>
        <w:t xml:space="preserve">entrenches humans [21], but prior commitment makes these models </w:t>
      </w:r>
      <w:r>
        <w:rPr>
          <w:b w:val="0"/>
          <w:i/>
        </w:rPr>
        <w:t>more</w:t>
      </w:r>
      <w:r>
        <w:rPr>
          <w:b w:val="0"/>
          <w:i w:val="0"/>
        </w:rPr>
        <w:br/>
        <w:t>pliable, which points at conversational compliance (agreeing with the challenger) rather</w:t>
        <w:br/>
        <w:t>than position defense, in line with feedback-driven accounts of sycophancy</w:t>
        <w:br/>
        <w:t>[1, 10].</w:t>
      </w:r>
    </w:p>
    <w:p>
      <w:pPr>
        <w:pStyle w:val="PARAIndent"/>
      </w:pPr>
      <w:r>
        <w:rPr>
          <w:b/>
          <w:i w:val="0"/>
        </w:rPr>
        <w:t>Confidence-invariance.</w:t>
      </w:r>
      <w:r>
        <w:rPr>
          <w:b w:val="0"/>
          <w:i w:val="0"/>
        </w:rPr>
        <w:t xml:space="preserve"> Pre-pressure belief margin fails to predict resistance</w:t>
        <w:br/>
        <w:t>(slope slightly positive; the top quintile flips 83.5%): capitulation is not Bayesian</w:t>
        <w:br/>
        <w:t>belief revision weighted by prior certainty, and internal confidence cannot serve as a</w:t>
        <w:br/>
        <w:t>sycophancy guardrail.</w:t>
      </w:r>
    </w:p>
    <w:p>
      <w:pPr>
        <w:pStyle w:val="H1ListSpace"/>
      </w:pPr>
      <w:r>
        <w:t>LIMITATIONS</w:t>
      </w:r>
    </w:p>
    <w:p>
      <w:pPr>
        <w:pStyle w:val="PARA"/>
      </w:pPr>
      <w:r>
        <w:rPr>
          <w:b/>
          <w:i w:val="0"/>
        </w:rPr>
        <w:t>The pre-registered hypothesis failed</w:t>
      </w:r>
      <w:r>
        <w:rPr>
          <w:b w:val="0"/>
          <w:i w:val="0"/>
        </w:rPr>
        <w:t>, and the headline commitment finding, the</w:t>
        <w:br/>
        <w:t>anonymous rung, and the single-turn arm were post-hoc additions—timestamped, disclosed,</w:t>
        <w:br/>
        <w:t>and BH-corrected as a separate family, but exploratory nonetheless; they warrant</w:t>
        <w:br/>
        <w:t xml:space="preserve">confirmatory replication. </w:t>
      </w:r>
      <w:r>
        <w:rPr>
          <w:b/>
          <w:i w:val="0"/>
        </w:rPr>
        <w:t>The two-turn manipulation is a bundle</w:t>
      </w:r>
      <w:r>
        <w:rPr>
          <w:b w:val="0"/>
          <w:i w:val="0"/>
        </w:rPr>
        <w:t>: self-commitment,</w:t>
        <w:br/>
        <w:t>being socially contradicted, and message recency co-occur. The direction asymmetry rules out</w:t>
        <w:br/>
        <w:t>pure recency, but separating commitment from contradiction requires designs (private vs.</w:t>
        <w:br/>
        <w:t xml:space="preserve">public commitment; third-party commitment) we did not run. </w:t>
      </w:r>
      <w:r>
        <w:rPr>
          <w:b/>
          <w:i w:val="0"/>
        </w:rPr>
        <w:t>Judge coverage</w:t>
      </w:r>
      <w:r>
        <w:rPr>
          <w:b w:val="0"/>
          <w:i w:val="0"/>
        </w:rPr>
        <w:t>: the</w:t>
        <w:br/>
        <w:t>κ=0.967 human validation covers the main two-turn run only; single-turn labels are</w:t>
        <w:br/>
        <w:t>deterministic-metric only (0.0% extraction failures; 93.6–100% correct-arm accuracy</w:t>
        <w:br/>
        <w:t>retained), and a judge pass over the 6,880 single-turn trials is the cheapest outstanding</w:t>
        <w:br/>
        <w:t xml:space="preserve">robustness addition. </w:t>
      </w:r>
      <w:r>
        <w:rPr>
          <w:b/>
          <w:i w:val="0"/>
        </w:rPr>
        <w:t>Inference</w:t>
      </w:r>
      <w:r>
        <w:rPr>
          <w:b w:val="0"/>
          <w:i w:val="0"/>
        </w:rPr>
        <w:t>: with six models, cluster-robust pooled inference is</w:t>
        <w:br/>
        <w:t>unreliable; we lean on per-model paired tests (unanimous for the commitment effect) and</w:t>
        <w:br/>
        <w:t xml:space="preserve">report pooled fixed-effects coefficients descriptively. </w:t>
      </w:r>
      <w:r>
        <w:rPr>
          <w:b/>
          <w:i w:val="0"/>
        </w:rPr>
        <w:t>Scope</w:t>
      </w:r>
      <w:r>
        <w:rPr>
          <w:b w:val="0"/>
          <w:i w:val="0"/>
        </w:rPr>
        <w:t>: 3B–9B</w:t>
        <w:br/>
        <w:t>instruction-tuned open models; English MCQ with one minimal counter-claim wording per rung;</w:t>
        <w:br/>
        <w:t>single-letter outputs (near-forced-choice—we do not claim free-form generalization, and we</w:t>
        <w:br/>
        <w:t>make no claim about human-perceived sycophancy [15]); and a 20.8–27.3%</w:t>
        <w:br/>
        <w:t xml:space="preserve">single-turn caving floor showing our items are not immune even without commitment. </w:t>
      </w:r>
      <w:r>
        <w:rPr>
          <w:b/>
          <w:i w:val="0"/>
        </w:rPr>
        <w:t>The Mammen difference is unresolved</w:t>
      </w:r>
      <w:r>
        <w:rPr>
          <w:b w:val="0"/>
          <w:i w:val="0"/>
        </w:rPr>
        <w:t>: we changed protocol, personas,</w:t>
        <w:br/>
        <w:t xml:space="preserve">domains, and models simultaneously; our data localize what the difference is </w:t>
      </w:r>
      <w:r>
        <w:rPr>
          <w:b w:val="0"/>
          <w:i/>
        </w:rPr>
        <w:t>not</w:t>
      </w:r>
      <w:r>
        <w:rPr>
          <w:b w:val="0"/>
          <w:i w:val="0"/>
        </w:rPr>
        <w:br/>
        <w:t xml:space="preserve">(turn structure alone), not what it is. </w:t>
      </w:r>
      <w:r>
        <w:rPr>
          <w:b/>
          <w:i w:val="0"/>
        </w:rPr>
        <w:t>Two pre-registered exploratory analyses were</w:t>
        <w:br/>
        <w:t>not completed as planned</w:t>
      </w:r>
      <w:r>
        <w:rPr>
          <w:b w:val="0"/>
          <w:i w:val="0"/>
        </w:rPr>
        <w:t>: E6 (external benchmark calibration) was not run, and E3</w:t>
        <w:br/>
        <w:t>(linguistic hedging) is descriptive only; both are disclosed in the deviations table.</w:t>
      </w:r>
    </w:p>
    <w:p>
      <w:pPr>
        <w:pStyle w:val="H1ListSpace"/>
      </w:pPr>
      <w:r>
        <w:t>CONCLUSION</w:t>
      </w:r>
    </w:p>
    <w:p>
      <w:pPr>
        <w:pStyle w:val="PARA"/>
      </w:pPr>
      <w:r>
        <w:rPr>
          <w:b w:val="0"/>
          <w:i w:val="0"/>
        </w:rPr>
        <w:t xml:space="preserve">Across six small open LLMs under a pre-registered, human-validated protocol,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a</w:t>
        <w:br/>
        <w:t xml:space="preserve">counter-claim arrives dominates </w:t>
      </w:r>
      <w:r>
        <w:rPr>
          <w:b w:val="0"/>
          <w:i/>
        </w:rPr>
        <w:t>who</w:t>
      </w:r>
      <w:r>
        <w:rPr>
          <w:b w:val="0"/>
          <w:i w:val="0"/>
        </w:rPr>
        <w:t xml:space="preserve"> it comes from. Prior self-commitment multiplies</w:t>
        <w:br/>
        <w:t>capitulation 1.9–9.3× (every model, p&lt;10⁻¹⁵); endorsement direction is</w:t>
        <w:br/>
        <w:t>decisive; an anonymous counter-claim achieves most of the effect; source authority adds</w:t>
        <w:br/>
        <w:t>only a small, sign-inconsistent, model-dependent modulation; and the models' own confidence</w:t>
        <w:br/>
        <w:t>provides no protection. The pre-registered authority-gradient hypothesis failed, and we</w:t>
        <w:br/>
        <w:t>report it as failed. Sycophancy evaluation—and mitigation—should treat conversational</w:t>
        <w:br/>
        <w:t>structure as a first-class variable, at least as important as the credentials in the</w:t>
        <w:br/>
        <w:t>prompt.</w:t>
      </w:r>
    </w:p>
    <w:p>
      <w:pPr>
        <w:pStyle w:val="H1ListSpace"/>
      </w:pPr>
      <w:r>
        <w:t>DATA AND CODE AVAILABILITY</w:t>
      </w:r>
    </w:p>
    <w:p>
      <w:pPr>
        <w:pStyle w:val="PARA"/>
      </w:pPr>
      <w:r>
        <w:rPr>
          <w:b w:val="0"/>
          <w:i w:val="0"/>
        </w:rPr>
        <w:t>All raw model outputs (SHA-256–frozen), the pre-registration and deviations table, analysis</w:t>
        <w:br/>
        <w:t>code (src/paper_numbers.py regenerates every statistic in this paper),</w:t>
        <w:br/>
        <w:t>figure scripts, judge outputs, and human-validation labels are available at</w:t>
        <w:br/>
        <w:t>github.com/Gokul-2004/research-1. Items derive from</w:t>
        <w:br/>
        <w:t>ARC-Challenge, MMLU, and TruthfulQA under their respective licenses.</w:t>
      </w:r>
    </w:p>
    <w:p>
      <w:pPr>
        <w:pStyle w:val="H1ListSpace"/>
      </w:pPr>
      <w:r>
        <w:t>REFERENCES</w:t>
      </w:r>
    </w:p>
    <w:p>
      <w:pPr>
        <w:pStyle w:val="PARA"/>
      </w:pPr>
      <w:r>
        <w:rPr>
          <w:sz w:val="16"/>
        </w:rPr>
        <w:t xml:space="preserve">[1] </w:t>
      </w:r>
      <w:r>
        <w:rPr>
          <w:b w:val="0"/>
          <w:i w:val="0"/>
          <w:sz w:val="16"/>
        </w:rPr>
        <w:t>M. Sharma, M. Tong, T. Korbak, D. Duvenaud, et al., “Towards</w:t>
        <w:br/>
        <w:t>understanding sycophancy in language models,” in Proc. Int. Conf. Learn. Represent.</w:t>
        <w:br/>
        <w:t>(ICLR), 2024, arXiv:2310.13548.</w:t>
      </w:r>
    </w:p>
    <w:p>
      <w:pPr>
        <w:pStyle w:val="PARA"/>
      </w:pPr>
      <w:r>
        <w:rPr>
          <w:sz w:val="16"/>
        </w:rPr>
        <w:t xml:space="preserve">[2] </w:t>
      </w:r>
      <w:r>
        <w:rPr>
          <w:b w:val="0"/>
          <w:i w:val="0"/>
          <w:sz w:val="16"/>
        </w:rPr>
        <w:t>A. Fanous, J. Goldberg, A. Agarwal, J. Lin, A. Zhou, S. Xu, V. Bikia,</w:t>
        <w:br/>
        <w:t>R. Daneshjou, and S. Koyejo, “SycEval: Evaluating LLM sycophancy,” 2025, arXiv:2502.08177.</w:t>
      </w:r>
    </w:p>
    <w:p>
      <w:pPr>
        <w:pStyle w:val="PARA"/>
      </w:pPr>
      <w:r>
        <w:rPr>
          <w:sz w:val="16"/>
        </w:rPr>
        <w:t xml:space="preserve">[3] </w:t>
      </w:r>
      <w:r>
        <w:rPr>
          <w:b w:val="0"/>
          <w:i w:val="0"/>
          <w:sz w:val="16"/>
        </w:rPr>
        <w:t>P. M. Mammen, E. Joswin, and S. Venkitachalam, “Who endorsed it?</w:t>
        <w:br/>
        <w:t>Measuring authority bias across expertise levels in language models,” 2026,</w:t>
        <w:br/>
        <w:t>arXiv:2601.13433.</w:t>
      </w:r>
    </w:p>
    <w:p>
      <w:pPr>
        <w:pStyle w:val="PARA"/>
      </w:pPr>
      <w:r>
        <w:rPr>
          <w:sz w:val="16"/>
        </w:rPr>
        <w:t xml:space="preserve">[4] </w:t>
      </w:r>
      <w:r>
        <w:rPr>
          <w:b w:val="0"/>
          <w:i w:val="0"/>
          <w:sz w:val="16"/>
        </w:rPr>
        <w:t>K. Wang, J. Li, S. Yang, Z. Zhang, and D. Wang, “When truth is</w:t>
        <w:br/>
        <w:t>overridden: Uncovering the internal origins of sycophancy in large language models,” in</w:t>
        <w:br/>
        <w:t>Proc. AAAI Conf. Artif. Intell., 2026, arXiv:2508.02087.</w:t>
      </w:r>
    </w:p>
    <w:p>
      <w:pPr>
        <w:pStyle w:val="PARA"/>
      </w:pPr>
      <w:r>
        <w:rPr>
          <w:sz w:val="16"/>
        </w:rPr>
        <w:t xml:space="preserve">[5] </w:t>
      </w:r>
      <w:r>
        <w:rPr>
          <w:b w:val="0"/>
          <w:i w:val="0"/>
          <w:sz w:val="16"/>
        </w:rPr>
        <w:t>S. Kim and D. Khashabi, “Challenging the evaluator: LLM sycophancy under</w:t>
        <w:br/>
        <w:t>user rebuttal,” in Findings Assoc. Comput. Linguistics: EMNLP, 2025,</w:t>
        <w:br/>
        <w:t>arXiv:2509.16533.</w:t>
      </w:r>
    </w:p>
    <w:p>
      <w:pPr>
        <w:pStyle w:val="PARA"/>
      </w:pPr>
      <w:r>
        <w:rPr>
          <w:sz w:val="16"/>
        </w:rPr>
        <w:t xml:space="preserve">[6] </w:t>
      </w:r>
      <w:r>
        <w:rPr>
          <w:b w:val="0"/>
          <w:i w:val="0"/>
          <w:sz w:val="16"/>
        </w:rPr>
        <w:t>E. Joswin, S. Medicherla, and P. M. Mammen, “A mechanistic view of</w:t>
        <w:br/>
        <w:t>authority hierarchy in LLM sycophancy,” in Proc. ICML Workshop Mechanistic</w:t>
        <w:br/>
        <w:t>Interpretability, Seoul, South Korea, 2026.</w:t>
      </w:r>
    </w:p>
    <w:p>
      <w:pPr>
        <w:pStyle w:val="PARA"/>
      </w:pPr>
      <w:r>
        <w:rPr>
          <w:sz w:val="16"/>
        </w:rPr>
        <w:t xml:space="preserve">[7] </w:t>
      </w:r>
      <w:r>
        <w:rPr>
          <w:b w:val="0"/>
          <w:i w:val="0"/>
          <w:sz w:val="16"/>
        </w:rPr>
        <w:t>K. Zhang, Q. Jia, Z. Chen, W. Sun, X. Zhu, C. Li, D. Zhu, and G. Zhai,</w:t>
        <w:br/>
        <w:t>“Sycophancy under pressure: Evaluating and mitigating sycophantic bias via adversarial</w:t>
        <w:br/>
        <w:t>dialogues in scientific QA,” 2025, arXiv:2508.13743.</w:t>
      </w:r>
    </w:p>
    <w:p>
      <w:pPr>
        <w:pStyle w:val="PARA"/>
      </w:pPr>
      <w:r>
        <w:rPr>
          <w:sz w:val="16"/>
        </w:rPr>
        <w:t xml:space="preserve">[8] </w:t>
      </w:r>
      <w:r>
        <w:rPr>
          <w:b w:val="0"/>
          <w:i w:val="0"/>
          <w:sz w:val="16"/>
        </w:rPr>
        <w:t>D. Peng, Y. Wang, A. Schoeffler, S. Hong, B. Suffoletto, D. Kim,</w:t>
        <w:br/>
        <w:t>C. Preiksaitis, and C. Rose, “SycoEval-EM: Sycophancy evaluation of large language models in</w:t>
        <w:br/>
        <w:t>simulated clinical encounters for emergency care,” 2026, arXiv:2601.16529.</w:t>
      </w:r>
    </w:p>
    <w:p>
      <w:pPr>
        <w:pStyle w:val="PARA"/>
      </w:pPr>
      <w:r>
        <w:rPr>
          <w:sz w:val="16"/>
        </w:rPr>
        <w:t xml:space="preserve">[9] </w:t>
      </w:r>
      <w:r>
        <w:rPr>
          <w:b w:val="0"/>
          <w:i w:val="0"/>
          <w:sz w:val="16"/>
        </w:rPr>
        <w:t>J. Hong, G. Byun, S. Kim, K. Shu, and J. D. Choi, “Measuring sycophancy</w:t>
        <w:br/>
        <w:t>of language models in multi-turn dialogues,” 2026, arXiv:2505.23840.</w:t>
      </w:r>
    </w:p>
    <w:p>
      <w:pPr>
        <w:pStyle w:val="PARA"/>
      </w:pPr>
      <w:r>
        <w:rPr>
          <w:sz w:val="16"/>
        </w:rPr>
        <w:t xml:space="preserve">[10] </w:t>
      </w:r>
      <w:r>
        <w:rPr>
          <w:b w:val="0"/>
          <w:i w:val="0"/>
          <w:sz w:val="16"/>
        </w:rPr>
        <w:t>J. Wei, D. Huang, Y. Lu, D. Zhou, and Q. V. Le, “Simple synthetic data</w:t>
        <w:br/>
        <w:t>reduces sycophancy in large language models,” 2024, arXiv:2308.03958.</w:t>
      </w:r>
    </w:p>
    <w:p>
      <w:pPr>
        <w:pStyle w:val="PARA"/>
      </w:pPr>
      <w:r>
        <w:rPr>
          <w:sz w:val="16"/>
        </w:rPr>
        <w:t xml:space="preserve">[11] </w:t>
      </w:r>
      <w:r>
        <w:rPr>
          <w:b w:val="0"/>
          <w:i w:val="0"/>
          <w:sz w:val="16"/>
        </w:rPr>
        <w:t>E. Perez, S. Ringer, K. Lukošiūtė, et al., “Discovering language model</w:t>
        <w:br/>
        <w:t>behaviors with model-written evaluations,” 2022, arXiv:2212.09251.</w:t>
      </w:r>
    </w:p>
    <w:p>
      <w:pPr>
        <w:pStyle w:val="PARA"/>
      </w:pPr>
      <w:r>
        <w:rPr>
          <w:sz w:val="16"/>
        </w:rPr>
        <w:t xml:space="preserve">[12] </w:t>
      </w:r>
      <w:r>
        <w:rPr>
          <w:b w:val="0"/>
          <w:i w:val="0"/>
          <w:sz w:val="16"/>
        </w:rPr>
        <w:t>M. Turpin, J. Michael, E. Perez, and S. R. Bowman, “Language models</w:t>
        <w:br/>
        <w:t>don't always say what they think: Unfaithful explanations in chain-of-thought prompting,”</w:t>
        <w:br/>
        <w:t>in Proc. Adv. Neural Inf. Process. Syst. (NeurIPS), 2023, arXiv:2305.04388.</w:t>
      </w:r>
    </w:p>
    <w:p>
      <w:pPr>
        <w:pStyle w:val="PARA"/>
      </w:pPr>
      <w:r>
        <w:rPr>
          <w:sz w:val="16"/>
        </w:rPr>
        <w:t xml:space="preserve">[13] </w:t>
      </w:r>
      <w:r>
        <w:rPr>
          <w:b w:val="0"/>
          <w:i w:val="0"/>
          <w:sz w:val="16"/>
        </w:rPr>
        <w:t>D. Vennemeyer, P. A. Duong, T. Zhan, and T. Jiang, “Sycophancy is</w:t>
        <w:br/>
        <w:t>not one thing: Causal separation of sycophantic behaviors in LLMs,” 2026, arXiv:2509.21305.</w:t>
      </w:r>
    </w:p>
    <w:p>
      <w:pPr>
        <w:pStyle w:val="PARA"/>
      </w:pPr>
      <w:r>
        <w:rPr>
          <w:sz w:val="16"/>
        </w:rPr>
        <w:t xml:space="preserve">[14] </w:t>
      </w:r>
      <w:r>
        <w:rPr>
          <w:b w:val="0"/>
          <w:i w:val="0"/>
          <w:sz w:val="16"/>
        </w:rPr>
        <w:t>S. Ben Natan and O. Tsur, “Not your typical sycophant: The elusive</w:t>
        <w:br/>
        <w:t>nature of sycophancy in large language models,” 2026, arXiv:2601.15436.</w:t>
      </w:r>
    </w:p>
    <w:p>
      <w:pPr>
        <w:pStyle w:val="PARA"/>
      </w:pPr>
      <w:r>
        <w:rPr>
          <w:sz w:val="16"/>
        </w:rPr>
        <w:t xml:space="preserve">[15] </w:t>
      </w:r>
      <w:r>
        <w:rPr>
          <w:b w:val="0"/>
          <w:i w:val="0"/>
          <w:sz w:val="16"/>
        </w:rPr>
        <w:t>J. Batzner, V. Stocker, S. Schmid, and G. Kasneci, “Sycophancy claims</w:t>
        <w:br/>
        <w:t>about language models: The missing human-in-the-loop,” 2025, arXiv:2512.00656.</w:t>
      </w:r>
    </w:p>
    <w:p>
      <w:pPr>
        <w:pStyle w:val="PARA"/>
      </w:pPr>
      <w:r>
        <w:rPr>
          <w:sz w:val="16"/>
        </w:rPr>
        <w:t xml:space="preserve">[16] </w:t>
      </w:r>
      <w:r>
        <w:rPr>
          <w:b w:val="0"/>
          <w:i w:val="0"/>
          <w:sz w:val="16"/>
        </w:rPr>
        <w:t>P. Clark, I. Cowhey, O. Etzioni, T. Khot, A. Sabharwal, C. Schoenick, and</w:t>
        <w:br/>
        <w:t>O. Tafjord, “Think you have solved question answering? Try ARC, the AI2 reasoning</w:t>
        <w:br/>
        <w:t>challenge,” 2018, arXiv:1803.05457.</w:t>
      </w:r>
    </w:p>
    <w:p>
      <w:pPr>
        <w:pStyle w:val="PARA"/>
      </w:pPr>
      <w:r>
        <w:rPr>
          <w:sz w:val="16"/>
        </w:rPr>
        <w:t xml:space="preserve">[17] </w:t>
      </w:r>
      <w:r>
        <w:rPr>
          <w:b w:val="0"/>
          <w:i w:val="0"/>
          <w:sz w:val="16"/>
        </w:rPr>
        <w:t>D. Hendrycks, C. Burns, S. Basart, A. Zou, M. Mazeika, D. Song, and</w:t>
        <w:br/>
        <w:t>J. Steinhardt, “Measuring massive multitask language understanding,” in Proc. Int.</w:t>
        <w:br/>
        <w:t>Conf. Learn. Represent. (ICLR), 2021, arXiv:2009.03300.</w:t>
      </w:r>
    </w:p>
    <w:p>
      <w:pPr>
        <w:pStyle w:val="PARA"/>
      </w:pPr>
      <w:r>
        <w:rPr>
          <w:sz w:val="16"/>
        </w:rPr>
        <w:t xml:space="preserve">[18] </w:t>
      </w:r>
      <w:r>
        <w:rPr>
          <w:b w:val="0"/>
          <w:i w:val="0"/>
          <w:sz w:val="16"/>
        </w:rPr>
        <w:t>S. Lin, J. Hilton, and O. Evans, “TruthfulQA: Measuring how models mimic</w:t>
        <w:br/>
        <w:t>human falsehoods,” in Proc. Assoc. Comput. Linguistics (ACL), 2022, arXiv:2109.07958.</w:t>
      </w:r>
    </w:p>
    <w:p>
      <w:pPr>
        <w:pStyle w:val="PARA"/>
      </w:pPr>
      <w:r>
        <w:rPr>
          <w:sz w:val="16"/>
        </w:rPr>
        <w:t xml:space="preserve">[19] </w:t>
      </w:r>
      <w:r>
        <w:rPr>
          <w:b w:val="0"/>
          <w:i w:val="0"/>
          <w:sz w:val="16"/>
        </w:rPr>
        <w:t>E. C. Willroth and O. E. Atherton, “Best practices for reporting</w:t>
        <w:br/>
        <w:t>preregistration deviations,” Adv. Methods Pract. Psychol. Sci., vol. 7, no. 1,</w:t>
        <w:br/>
        <w:t>2024, Art. no. 25152459231213802.</w:t>
      </w:r>
    </w:p>
    <w:p>
      <w:pPr>
        <w:pStyle w:val="PARA"/>
      </w:pPr>
      <w:r>
        <w:rPr>
          <w:sz w:val="16"/>
        </w:rPr>
        <w:t xml:space="preserve">[20] </w:t>
      </w:r>
      <w:r>
        <w:rPr>
          <w:b w:val="0"/>
          <w:i w:val="0"/>
          <w:sz w:val="16"/>
        </w:rPr>
        <w:t>S. E. Asch, “Effects of group pressure upon the modification and</w:t>
        <w:br/>
        <w:t>distortion of judgments,” in Groups, Leadership and Men, H. Guetzkow, Ed.</w:t>
        <w:br/>
        <w:t>Pittsburgh, PA, USA: Carnegie Press, 1951, pp. 177–190.</w:t>
      </w:r>
    </w:p>
    <w:p>
      <w:pPr>
        <w:pStyle w:val="PARA"/>
      </w:pPr>
      <w:r>
        <w:rPr>
          <w:sz w:val="16"/>
        </w:rPr>
        <w:t xml:space="preserve">[21] </w:t>
      </w:r>
      <w:r>
        <w:rPr>
          <w:b w:val="0"/>
          <w:i w:val="0"/>
          <w:sz w:val="16"/>
        </w:rPr>
        <w:t>H. C. Kelman, “Compliance, identification, and internalization: Three</w:t>
        <w:br/>
        <w:t>processes of attitude change,” J. Conflict Resolut., vol. 2, no. 1, pp. 51–60,</w:t>
        <w:br/>
        <w:t>1958.</w:t>
      </w:r>
    </w:p>
    <w:p>
      <w:pPr>
        <w:pStyle w:val="PARA"/>
      </w:pPr>
      <w:r>
        <w:rPr>
          <w:sz w:val="16"/>
        </w:rPr>
        <w:t xml:space="preserve">[22] </w:t>
      </w:r>
      <w:r>
        <w:rPr>
          <w:b w:val="0"/>
          <w:i w:val="0"/>
          <w:sz w:val="16"/>
        </w:rPr>
        <w:t>S. Bonaccio and R. S. Dalal, “Advice taking and decision-making: An</w:t>
        <w:br/>
        <w:t>integrative literature review, and implications for the organizational sciences,”</w:t>
        <w:br/>
        <w:t>Organ. Behav. Hum. Decis. Process., vol. 101, no. 2, pp. 127–151, 2006.</w:t>
      </w:r>
    </w:p>
    <w:sectPr w:rsidR="0003253A" w:rsidRPr="006A0B53" w:rsidSect="00CB2DB1">
      <w:footerReference w:type="default" r:id="rId25"/>
      <w:type w:val="continuous"/>
      <w:pgSz w:w="11520" w:h="15660" w:code="1"/>
      <w:pgMar w:top="1300" w:right="740" w:bottom="1040" w:left="740" w:header="360" w:footer="64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1F025" w14:textId="77777777" w:rsidR="00CB2DB1" w:rsidRDefault="00CB2DB1">
      <w:r>
        <w:separator/>
      </w:r>
    </w:p>
  </w:endnote>
  <w:endnote w:type="continuationSeparator" w:id="0">
    <w:p w14:paraId="2EDD80A7" w14:textId="77777777" w:rsidR="00CB2DB1" w:rsidRDefault="00CB2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TSY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Reg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rmataOTFMdIt">
    <w:altName w:val="MV Bol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rmata OTF">
    <w:altName w:val="Calibri"/>
    <w:panose1 w:val="00000000000000000000"/>
    <w:charset w:val="00"/>
    <w:family w:val="modern"/>
    <w:notTrueType/>
    <w:pitch w:val="variable"/>
    <w:sig w:usb0="8000002F" w:usb1="40000048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imbusRomNo9L-ReguItal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MI10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SY7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B976A" w14:textId="77777777" w:rsidR="009C79C4" w:rsidRPr="00B979BB" w:rsidRDefault="009C79C4" w:rsidP="00422716">
    <w:pPr>
      <w:pStyle w:val="Footer"/>
      <w:tabs>
        <w:tab w:val="clear" w:pos="4320"/>
        <w:tab w:val="clear" w:pos="8640"/>
        <w:tab w:val="right" w:pos="10044"/>
      </w:tabs>
      <w:rPr>
        <w:rFonts w:ascii="Helvetica" w:hAnsi="Helvetica"/>
        <w:sz w:val="12"/>
        <w:szCs w:val="12"/>
      </w:rPr>
    </w:pPr>
    <w:r w:rsidRPr="00B979BB">
      <w:rPr>
        <w:rFonts w:ascii="Helvetica" w:hAnsi="Helvetica" w:cs="FormataOTF-Reg"/>
        <w:sz w:val="12"/>
        <w:szCs w:val="12"/>
      </w:rPr>
      <w:t>VOLUME XX, 2017</w:t>
    </w:r>
    <w:r w:rsidRPr="00B979BB">
      <w:rPr>
        <w:rFonts w:ascii="Helvetica" w:hAnsi="Helvetica" w:cs="FormataOTF-Reg"/>
        <w:sz w:val="12"/>
        <w:szCs w:val="12"/>
      </w:rPr>
      <w:tab/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DA35C" w14:textId="77777777" w:rsidR="009C79C4" w:rsidRPr="00B979BB" w:rsidRDefault="009C79C4" w:rsidP="00E721A9">
    <w:pPr>
      <w:pStyle w:val="Footer"/>
      <w:tabs>
        <w:tab w:val="clear" w:pos="4320"/>
        <w:tab w:val="clear" w:pos="8640"/>
        <w:tab w:val="center" w:pos="9540"/>
      </w:tabs>
      <w:rPr>
        <w:rFonts w:ascii="Helvetica" w:hAnsi="Helvetica"/>
        <w:sz w:val="12"/>
      </w:rPr>
    </w:pPr>
    <w:r w:rsidRPr="00B979BB">
      <w:rPr>
        <w:rFonts w:ascii="Helvetica" w:hAnsi="Helvetica" w:cs="FormataOTF-Reg"/>
        <w:sz w:val="12"/>
        <w:szCs w:val="14"/>
      </w:rPr>
      <w:t>2</w:t>
    </w:r>
    <w:r w:rsidRPr="00B979BB">
      <w:rPr>
        <w:rFonts w:ascii="Helvetica" w:hAnsi="Helvetica" w:cs="FormataOTF-Reg"/>
        <w:sz w:val="12"/>
        <w:szCs w:val="14"/>
      </w:rPr>
      <w:tab/>
    </w:r>
    <w:r w:rsidRPr="00B979BB">
      <w:rPr>
        <w:rFonts w:ascii="Helvetica" w:hAnsi="Helvetica" w:cs="FormataOTF-Reg"/>
        <w:sz w:val="12"/>
        <w:szCs w:val="12"/>
      </w:rPr>
      <w:t>VOLUME XX, 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2D52E" w14:textId="77777777" w:rsidR="009C79C4" w:rsidRPr="00B979BB" w:rsidRDefault="009C79C4" w:rsidP="00CD6C55">
    <w:pPr>
      <w:pStyle w:val="Footer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r w:rsidRPr="00B979BB">
      <w:rPr>
        <w:rFonts w:ascii="Helvetica" w:hAnsi="Helvetica" w:cs="FormataOTF-Reg"/>
        <w:sz w:val="12"/>
        <w:szCs w:val="12"/>
      </w:rPr>
      <w:t>VOLUME XX, 2017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3105" w14:textId="77777777" w:rsidR="009C79C4" w:rsidRPr="00B979BB" w:rsidRDefault="009C79C4" w:rsidP="00E721A9">
    <w:pPr>
      <w:pStyle w:val="Footer"/>
      <w:tabs>
        <w:tab w:val="clear" w:pos="4320"/>
        <w:tab w:val="clear" w:pos="8640"/>
        <w:tab w:val="center" w:pos="9540"/>
      </w:tabs>
      <w:rPr>
        <w:rFonts w:ascii="Helvetica" w:hAnsi="Helvetica"/>
        <w:sz w:val="12"/>
      </w:rPr>
    </w:pPr>
    <w:r>
      <w:rPr>
        <w:rFonts w:ascii="Helvetica" w:hAnsi="Helvetica" w:cs="FormataOTF-Reg"/>
        <w:sz w:val="12"/>
        <w:szCs w:val="14"/>
      </w:rPr>
      <w:t>4</w:t>
    </w:r>
    <w:r w:rsidRPr="00B979BB">
      <w:rPr>
        <w:rFonts w:ascii="Helvetica" w:hAnsi="Helvetica" w:cs="FormataOTF-Reg"/>
        <w:sz w:val="12"/>
        <w:szCs w:val="14"/>
      </w:rPr>
      <w:tab/>
    </w:r>
    <w:r w:rsidRPr="00B979BB">
      <w:rPr>
        <w:rFonts w:ascii="Helvetica" w:hAnsi="Helvetica" w:cs="FormataOTF-Reg"/>
        <w:sz w:val="12"/>
        <w:szCs w:val="12"/>
      </w:rPr>
      <w:t>VOLUME XX, 2017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13273" w14:textId="32EC74B2" w:rsidR="007A706D" w:rsidRPr="00B979BB" w:rsidRDefault="007A706D" w:rsidP="007A706D">
    <w:pPr>
      <w:pStyle w:val="Footer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r w:rsidRPr="00B979BB">
      <w:rPr>
        <w:rFonts w:ascii="Helvetica" w:hAnsi="Helvetica" w:cs="FormataOTF-Reg"/>
        <w:sz w:val="12"/>
        <w:szCs w:val="12"/>
      </w:rPr>
      <w:t>VOLUME XX, 2017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B9B43" w14:textId="4C883922" w:rsidR="005C7DF8" w:rsidRPr="00B979BB" w:rsidRDefault="005C7DF8" w:rsidP="005C7DF8">
    <w:pPr>
      <w:pStyle w:val="Footer"/>
      <w:tabs>
        <w:tab w:val="clear" w:pos="4320"/>
        <w:tab w:val="clear" w:pos="8640"/>
        <w:tab w:val="center" w:pos="9540"/>
      </w:tabs>
      <w:rPr>
        <w:rFonts w:ascii="Helvetica" w:hAnsi="Helvetica"/>
        <w:sz w:val="12"/>
      </w:rPr>
    </w:pPr>
    <w:r>
      <w:rPr>
        <w:rFonts w:ascii="Helvetica" w:hAnsi="Helvetica" w:cs="FormataOTF-Reg"/>
        <w:sz w:val="12"/>
        <w:szCs w:val="14"/>
      </w:rPr>
      <w:t>6</w:t>
    </w:r>
    <w:r w:rsidRPr="00B979BB">
      <w:rPr>
        <w:rFonts w:ascii="Helvetica" w:hAnsi="Helvetica" w:cs="FormataOTF-Reg"/>
        <w:sz w:val="12"/>
        <w:szCs w:val="14"/>
      </w:rPr>
      <w:tab/>
    </w:r>
    <w:r w:rsidRPr="00B979BB">
      <w:rPr>
        <w:rFonts w:ascii="Helvetica" w:hAnsi="Helvetica" w:cs="FormataOTF-Reg"/>
        <w:sz w:val="12"/>
        <w:szCs w:val="12"/>
      </w:rPr>
      <w:t>VOLUME XX, 2017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08833" w14:textId="5184F99D" w:rsidR="005C7DF8" w:rsidRPr="00B979BB" w:rsidRDefault="005C7DF8" w:rsidP="007A706D">
    <w:pPr>
      <w:pStyle w:val="Footer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r w:rsidRPr="00B979BB">
      <w:rPr>
        <w:rFonts w:ascii="Helvetica" w:hAnsi="Helvetica" w:cs="FormataOTF-Reg"/>
        <w:sz w:val="12"/>
        <w:szCs w:val="12"/>
      </w:rPr>
      <w:t>VOLUME XX, 2017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7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B6DD2" w14:textId="30D85FD1" w:rsidR="005C7DF8" w:rsidRPr="00B979BB" w:rsidRDefault="005C7DF8" w:rsidP="005C7DF8">
    <w:pPr>
      <w:pStyle w:val="Footer"/>
      <w:tabs>
        <w:tab w:val="clear" w:pos="4320"/>
        <w:tab w:val="clear" w:pos="8640"/>
        <w:tab w:val="center" w:pos="9540"/>
      </w:tabs>
      <w:rPr>
        <w:rFonts w:ascii="Helvetica" w:hAnsi="Helvetica"/>
        <w:sz w:val="12"/>
      </w:rPr>
    </w:pPr>
    <w:r>
      <w:rPr>
        <w:rFonts w:ascii="Helvetica" w:hAnsi="Helvetica" w:cs="FormataOTF-Reg"/>
        <w:sz w:val="12"/>
        <w:szCs w:val="14"/>
      </w:rPr>
      <w:t>8</w:t>
    </w:r>
    <w:r w:rsidRPr="00B979BB">
      <w:rPr>
        <w:rFonts w:ascii="Helvetica" w:hAnsi="Helvetica" w:cs="FormataOTF-Reg"/>
        <w:sz w:val="12"/>
        <w:szCs w:val="14"/>
      </w:rPr>
      <w:tab/>
    </w:r>
    <w:r w:rsidRPr="00B979BB">
      <w:rPr>
        <w:rFonts w:ascii="Helvetica" w:hAnsi="Helvetica" w:cs="FormataOTF-Reg"/>
        <w:sz w:val="12"/>
        <w:szCs w:val="12"/>
      </w:rPr>
      <w:t>VOLUME XX,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603C" w14:textId="77777777" w:rsidR="00CB2DB1" w:rsidRDefault="00CB2DB1">
      <w:r>
        <w:separator/>
      </w:r>
    </w:p>
  </w:footnote>
  <w:footnote w:type="continuationSeparator" w:id="0">
    <w:p w14:paraId="1E081D45" w14:textId="77777777" w:rsidR="00CB2DB1" w:rsidRDefault="00CB2DB1">
      <w:r>
        <w:continuationSeparator/>
      </w:r>
    </w:p>
  </w:footnote>
  <w:footnote w:id="1">
    <w:p w14:paraId="3296347A" w14:textId="77777777" w:rsidR="009C79C4" w:rsidRDefault="009C79C4" w:rsidP="001C597C">
      <w:pPr>
        <w:pStyle w:val="FootnoteText"/>
      </w:pPr>
      <w:r>
        <w:rPr>
          <w:rStyle w:val="FootnoteReference"/>
        </w:rPr>
        <w:footnoteRef/>
      </w:r>
      <w:r>
        <w:t>It is recommended that footnotes be avoided (except for the unnumbered footnote with the receipt date on the first page). Instead, try to integrate the footnote information into the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5B0C1" w14:textId="77777777" w:rsidR="009C79C4" w:rsidRPr="00E721A9" w:rsidRDefault="009C79C4" w:rsidP="00E721A9">
    <w:pPr>
      <w:pStyle w:val="Header"/>
      <w:pBdr>
        <w:bottom w:val="single" w:sz="4" w:space="3" w:color="auto"/>
      </w:pBdr>
      <w:tabs>
        <w:tab w:val="clear" w:pos="4320"/>
        <w:tab w:val="left" w:pos="5532"/>
      </w:tabs>
      <w:jc w:val="right"/>
      <w:rPr>
        <w:rFonts w:ascii="Formata OTF" w:hAnsi="Formata OTF"/>
        <w:sz w:val="14"/>
        <w:szCs w:val="14"/>
      </w:rPr>
    </w:pPr>
    <w:r>
      <w:rPr>
        <w:rFonts w:ascii="Formata OTF" w:hAnsi="Formata OTF"/>
        <w:noProof/>
        <w:sz w:val="14"/>
        <w:szCs w:val="14"/>
      </w:rPr>
      <w:drawing>
        <wp:inline distT="0" distB="0" distL="0" distR="0" wp14:anchorId="396B900A" wp14:editId="6E819850">
          <wp:extent cx="1169670" cy="297815"/>
          <wp:effectExtent l="0" t="0" r="0" b="6985"/>
          <wp:docPr id="3" name="Picture 3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9670" cy="297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23C04" w14:textId="77777777" w:rsidR="009C79C4" w:rsidRPr="00CB191E" w:rsidRDefault="009C79C4" w:rsidP="00B979BB">
    <w:pPr>
      <w:pStyle w:val="Header"/>
      <w:pBdr>
        <w:bottom w:val="single" w:sz="4" w:space="3" w:color="auto"/>
      </w:pBdr>
      <w:tabs>
        <w:tab w:val="clear" w:pos="4320"/>
        <w:tab w:val="left" w:pos="5472"/>
      </w:tabs>
      <w:rPr>
        <w:rFonts w:ascii="Helvetica" w:hAnsi="Helvetica" w:cs="FormataOTF-Reg"/>
        <w:sz w:val="14"/>
        <w:szCs w:val="14"/>
      </w:rPr>
    </w:pPr>
    <w:r>
      <w:rPr>
        <w:rFonts w:ascii="Formata OTF" w:hAnsi="Formata OTF" w:cs="FormataOTF-Reg"/>
        <w:noProof/>
        <w:sz w:val="14"/>
        <w:szCs w:val="14"/>
      </w:rPr>
      <w:drawing>
        <wp:inline distT="0" distB="0" distL="0" distR="0" wp14:anchorId="7CBD163E" wp14:editId="7D0B38FD">
          <wp:extent cx="977900" cy="170180"/>
          <wp:effectExtent l="0" t="0" r="0" b="1270"/>
          <wp:docPr id="4" name="Picture 4" descr="notaglineLogo-eps-converted-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otaglineLogo-eps-converted-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170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Formata OTF" w:hAnsi="Formata OTF" w:cs="FormataOTF-Reg"/>
        <w:sz w:val="14"/>
        <w:szCs w:val="14"/>
      </w:rPr>
      <w:tab/>
    </w:r>
    <w:r>
      <w:rPr>
        <w:rFonts w:ascii="Helvetica" w:hAnsi="Helvetica" w:cs="FormataOTF-Reg"/>
        <w:sz w:val="14"/>
        <w:szCs w:val="14"/>
      </w:rPr>
      <w:t>Author Name</w:t>
    </w:r>
    <w:r w:rsidRPr="00B979BB">
      <w:rPr>
        <w:rFonts w:ascii="Helvetica" w:hAnsi="Helvetica" w:cs="FormataOTF-Reg"/>
        <w:sz w:val="14"/>
        <w:szCs w:val="14"/>
      </w:rPr>
      <w:t xml:space="preserve">: </w:t>
    </w:r>
    <w:r w:rsidRPr="00CB191E">
      <w:rPr>
        <w:rFonts w:ascii="Helvetica" w:hAnsi="Helvetica" w:cs="FormataOTF-Reg"/>
        <w:sz w:val="14"/>
        <w:szCs w:val="14"/>
      </w:rPr>
      <w:t>Preparation of Papers for IEEE Access (February 2017)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62F820A2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Heading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0334CBB"/>
    <w:multiLevelType w:val="multilevel"/>
    <w:tmpl w:val="7C88D4CC"/>
    <w:lvl w:ilvl="0">
      <w:start w:val="2"/>
      <w:numFmt w:val="upperLetter"/>
      <w:pStyle w:val="H2Cont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0532B4F"/>
    <w:multiLevelType w:val="multilevel"/>
    <w:tmpl w:val="1A824A18"/>
    <w:lvl w:ilvl="0">
      <w:start w:val="4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6453F57"/>
    <w:multiLevelType w:val="multilevel"/>
    <w:tmpl w:val="CD96871E"/>
    <w:numStyleLink w:val="H2Restart"/>
  </w:abstractNum>
  <w:abstractNum w:abstractNumId="4" w15:restartNumberingAfterBreak="0">
    <w:nsid w:val="07C07FDF"/>
    <w:multiLevelType w:val="multilevel"/>
    <w:tmpl w:val="CD96871E"/>
    <w:styleLink w:val="H2Restart"/>
    <w:lvl w:ilvl="0">
      <w:start w:val="1"/>
      <w:numFmt w:val="upperLetter"/>
      <w:suff w:val="space"/>
      <w:lvlText w:val="%1."/>
      <w:lvlJc w:val="left"/>
      <w:pPr>
        <w:ind w:left="18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6E735E"/>
    <w:multiLevelType w:val="multilevel"/>
    <w:tmpl w:val="CD96871E"/>
    <w:numStyleLink w:val="H2Restart"/>
  </w:abstractNum>
  <w:abstractNum w:abstractNumId="6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4232A68"/>
    <w:multiLevelType w:val="multilevel"/>
    <w:tmpl w:val="A3CEC990"/>
    <w:numStyleLink w:val="H2afterH1New"/>
  </w:abstractNum>
  <w:abstractNum w:abstractNumId="8" w15:restartNumberingAfterBreak="0">
    <w:nsid w:val="197F4013"/>
    <w:multiLevelType w:val="multilevel"/>
    <w:tmpl w:val="CD96871E"/>
    <w:numStyleLink w:val="H2Restart"/>
  </w:abstractNum>
  <w:abstractNum w:abstractNumId="9" w15:restartNumberingAfterBreak="0">
    <w:nsid w:val="1AD9271D"/>
    <w:multiLevelType w:val="multilevel"/>
    <w:tmpl w:val="1A824A18"/>
    <w:lvl w:ilvl="0">
      <w:start w:val="4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1F74BC5"/>
    <w:multiLevelType w:val="multilevel"/>
    <w:tmpl w:val="CD96871E"/>
    <w:numStyleLink w:val="H2Restart"/>
  </w:abstractNum>
  <w:abstractNum w:abstractNumId="11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256849EF"/>
    <w:multiLevelType w:val="multilevel"/>
    <w:tmpl w:val="86D4EC90"/>
    <w:lvl w:ilvl="0">
      <w:start w:val="5"/>
      <w:numFmt w:val="upperLetter"/>
      <w:pStyle w:val="H2ConSpaceBefore12pt"/>
      <w:suff w:val="space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A0841DE"/>
    <w:multiLevelType w:val="multilevel"/>
    <w:tmpl w:val="A3CEC990"/>
    <w:numStyleLink w:val="H2afterH1New"/>
  </w:abstractNum>
  <w:abstractNum w:abstractNumId="14" w15:restartNumberingAfterBreak="0">
    <w:nsid w:val="2E5117DB"/>
    <w:multiLevelType w:val="multilevel"/>
    <w:tmpl w:val="CD96871E"/>
    <w:numStyleLink w:val="H2Restart"/>
  </w:abstractNum>
  <w:abstractNum w:abstractNumId="15" w15:restartNumberingAfterBreak="0">
    <w:nsid w:val="2F754583"/>
    <w:multiLevelType w:val="hybridMultilevel"/>
    <w:tmpl w:val="FA38E1D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34D1D"/>
    <w:multiLevelType w:val="multilevel"/>
    <w:tmpl w:val="CD96871E"/>
    <w:numStyleLink w:val="H2Restart"/>
  </w:abstractNum>
  <w:abstractNum w:abstractNumId="17" w15:restartNumberingAfterBreak="0">
    <w:nsid w:val="33E4726D"/>
    <w:multiLevelType w:val="multilevel"/>
    <w:tmpl w:val="90B4B226"/>
    <w:lvl w:ilvl="0">
      <w:start w:val="1"/>
      <w:numFmt w:val="upperRoman"/>
      <w:pStyle w:val="H1ListNoSpac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4BF4C83"/>
    <w:multiLevelType w:val="multilevel"/>
    <w:tmpl w:val="CD96871E"/>
    <w:numStyleLink w:val="H2Restart"/>
  </w:abstractNum>
  <w:abstractNum w:abstractNumId="19" w15:restartNumberingAfterBreak="0">
    <w:nsid w:val="357A45C8"/>
    <w:multiLevelType w:val="multilevel"/>
    <w:tmpl w:val="CD96871E"/>
    <w:numStyleLink w:val="H2Restart"/>
  </w:abstractNum>
  <w:abstractNum w:abstractNumId="20" w15:restartNumberingAfterBreak="0">
    <w:nsid w:val="37A62AE8"/>
    <w:multiLevelType w:val="hybridMultilevel"/>
    <w:tmpl w:val="31D04022"/>
    <w:lvl w:ilvl="0" w:tplc="04090015">
      <w:start w:val="1"/>
      <w:numFmt w:val="upperLetter"/>
      <w:pStyle w:val="H2AfterH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22" w15:restartNumberingAfterBreak="0">
    <w:nsid w:val="3B142FBD"/>
    <w:multiLevelType w:val="multilevel"/>
    <w:tmpl w:val="C2281CF6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3B240BA4"/>
    <w:multiLevelType w:val="multilevel"/>
    <w:tmpl w:val="ACAAA3AA"/>
    <w:lvl w:ilvl="0">
      <w:start w:val="1"/>
      <w:numFmt w:val="decimal"/>
      <w:pStyle w:val="H3"/>
      <w:lvlText w:val="%1)"/>
      <w:lvlJc w:val="left"/>
      <w:pPr>
        <w:tabs>
          <w:tab w:val="num" w:pos="32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3D90722D"/>
    <w:multiLevelType w:val="multilevel"/>
    <w:tmpl w:val="CD96871E"/>
    <w:numStyleLink w:val="H2Restart"/>
  </w:abstractNum>
  <w:abstractNum w:abstractNumId="25" w15:restartNumberingAfterBreak="0">
    <w:nsid w:val="442B60CD"/>
    <w:multiLevelType w:val="multilevel"/>
    <w:tmpl w:val="CD96871E"/>
    <w:numStyleLink w:val="H2Restart"/>
  </w:abstractNum>
  <w:abstractNum w:abstractNumId="26" w15:restartNumberingAfterBreak="0">
    <w:nsid w:val="4A1139B8"/>
    <w:multiLevelType w:val="multilevel"/>
    <w:tmpl w:val="BFB29B88"/>
    <w:lvl w:ilvl="0">
      <w:start w:val="2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A8B0ABB"/>
    <w:multiLevelType w:val="multilevel"/>
    <w:tmpl w:val="CD96871E"/>
    <w:numStyleLink w:val="H2Restart"/>
  </w:abstractNum>
  <w:abstractNum w:abstractNumId="28" w15:restartNumberingAfterBreak="0">
    <w:nsid w:val="4AD925CE"/>
    <w:multiLevelType w:val="multilevel"/>
    <w:tmpl w:val="3D72A97E"/>
    <w:lvl w:ilvl="0">
      <w:start w:val="4"/>
      <w:numFmt w:val="upperLetter"/>
      <w:pStyle w:val="H2ConNoSpace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4D6E47F2"/>
    <w:multiLevelType w:val="multilevel"/>
    <w:tmpl w:val="CD96871E"/>
    <w:numStyleLink w:val="H2Restart"/>
  </w:abstractNum>
  <w:abstractNum w:abstractNumId="30" w15:restartNumberingAfterBreak="0">
    <w:nsid w:val="50410D7D"/>
    <w:multiLevelType w:val="multilevel"/>
    <w:tmpl w:val="CD96871E"/>
    <w:numStyleLink w:val="H2Restart"/>
  </w:abstractNum>
  <w:abstractNum w:abstractNumId="31" w15:restartNumberingAfterBreak="0">
    <w:nsid w:val="55D64C9C"/>
    <w:multiLevelType w:val="hybridMultilevel"/>
    <w:tmpl w:val="A45CD83A"/>
    <w:lvl w:ilvl="0" w:tplc="B6E8773A">
      <w:start w:val="1"/>
      <w:numFmt w:val="bullet"/>
      <w:pStyle w:val="REFB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21B99"/>
    <w:multiLevelType w:val="multilevel"/>
    <w:tmpl w:val="CD96871E"/>
    <w:numStyleLink w:val="H2Restart"/>
  </w:abstractNum>
  <w:abstractNum w:abstractNumId="33" w15:restartNumberingAfterBreak="0">
    <w:nsid w:val="5E744E82"/>
    <w:multiLevelType w:val="multilevel"/>
    <w:tmpl w:val="CD96871E"/>
    <w:numStyleLink w:val="H2Restart"/>
  </w:abstractNum>
  <w:abstractNum w:abstractNumId="34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4D460AA"/>
    <w:multiLevelType w:val="multilevel"/>
    <w:tmpl w:val="CD96871E"/>
    <w:numStyleLink w:val="H2Restart"/>
  </w:abstractNum>
  <w:abstractNum w:abstractNumId="36" w15:restartNumberingAfterBreak="0">
    <w:nsid w:val="651D64E4"/>
    <w:multiLevelType w:val="multilevel"/>
    <w:tmpl w:val="CD96871E"/>
    <w:numStyleLink w:val="H2Restart"/>
  </w:abstractNum>
  <w:abstractNum w:abstractNumId="37" w15:restartNumberingAfterBreak="0">
    <w:nsid w:val="685D76CD"/>
    <w:multiLevelType w:val="multilevel"/>
    <w:tmpl w:val="CD96871E"/>
    <w:numStyleLink w:val="H2Restart"/>
  </w:abstractNum>
  <w:abstractNum w:abstractNumId="38" w15:restartNumberingAfterBreak="0">
    <w:nsid w:val="6BFE4F79"/>
    <w:multiLevelType w:val="hybridMultilevel"/>
    <w:tmpl w:val="2E865934"/>
    <w:lvl w:ilvl="0" w:tplc="6B505B88">
      <w:start w:val="1"/>
      <w:numFmt w:val="upperLetter"/>
      <w:pStyle w:val="H2First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FC6D80"/>
    <w:multiLevelType w:val="multilevel"/>
    <w:tmpl w:val="CD96871E"/>
    <w:numStyleLink w:val="H2Restart"/>
  </w:abstractNum>
  <w:num w:numId="1" w16cid:durableId="146632016">
    <w:abstractNumId w:val="0"/>
  </w:num>
  <w:num w:numId="2" w16cid:durableId="2139685392">
    <w:abstractNumId w:val="11"/>
  </w:num>
  <w:num w:numId="3" w16cid:durableId="1730304559">
    <w:abstractNumId w:val="21"/>
  </w:num>
  <w:num w:numId="4" w16cid:durableId="1904947642">
    <w:abstractNumId w:val="17"/>
  </w:num>
  <w:num w:numId="5" w16cid:durableId="2086564019">
    <w:abstractNumId w:val="34"/>
  </w:num>
  <w:num w:numId="6" w16cid:durableId="1720010044">
    <w:abstractNumId w:val="23"/>
  </w:num>
  <w:num w:numId="7" w16cid:durableId="1589195024">
    <w:abstractNumId w:val="9"/>
  </w:num>
  <w:num w:numId="8" w16cid:durableId="1483892291">
    <w:abstractNumId w:val="13"/>
  </w:num>
  <w:num w:numId="9" w16cid:durableId="572131377">
    <w:abstractNumId w:val="28"/>
  </w:num>
  <w:num w:numId="10" w16cid:durableId="282537363">
    <w:abstractNumId w:val="6"/>
  </w:num>
  <w:num w:numId="11" w16cid:durableId="653067656">
    <w:abstractNumId w:val="33"/>
  </w:num>
  <w:num w:numId="12" w16cid:durableId="255796949">
    <w:abstractNumId w:val="29"/>
  </w:num>
  <w:num w:numId="13" w16cid:durableId="511922190">
    <w:abstractNumId w:val="4"/>
  </w:num>
  <w:num w:numId="14" w16cid:durableId="1166827748">
    <w:abstractNumId w:val="5"/>
    <w:lvlOverride w:ilvl="0">
      <w:lvl w:ilvl="0">
        <w:start w:val="1"/>
        <w:numFmt w:val="upperLetter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</w:num>
  <w:num w:numId="15" w16cid:durableId="1487938667">
    <w:abstractNumId w:val="12"/>
  </w:num>
  <w:num w:numId="16" w16cid:durableId="1982534741">
    <w:abstractNumId w:val="26"/>
  </w:num>
  <w:num w:numId="17" w16cid:durableId="13933084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5729568">
    <w:abstractNumId w:val="38"/>
  </w:num>
  <w:num w:numId="19" w16cid:durableId="269047845">
    <w:abstractNumId w:val="3"/>
  </w:num>
  <w:num w:numId="20" w16cid:durableId="909580657">
    <w:abstractNumId w:val="2"/>
  </w:num>
  <w:num w:numId="21" w16cid:durableId="373579168">
    <w:abstractNumId w:val="24"/>
  </w:num>
  <w:num w:numId="22" w16cid:durableId="1745251843">
    <w:abstractNumId w:val="8"/>
  </w:num>
  <w:num w:numId="23" w16cid:durableId="2111774571">
    <w:abstractNumId w:val="16"/>
  </w:num>
  <w:num w:numId="24" w16cid:durableId="143159150">
    <w:abstractNumId w:val="36"/>
  </w:num>
  <w:num w:numId="25" w16cid:durableId="1312634794">
    <w:abstractNumId w:val="27"/>
  </w:num>
  <w:num w:numId="26" w16cid:durableId="237444995">
    <w:abstractNumId w:val="32"/>
  </w:num>
  <w:num w:numId="27" w16cid:durableId="376199287">
    <w:abstractNumId w:val="18"/>
  </w:num>
  <w:num w:numId="28" w16cid:durableId="1079518982">
    <w:abstractNumId w:val="25"/>
  </w:num>
  <w:num w:numId="29" w16cid:durableId="1536120966">
    <w:abstractNumId w:val="39"/>
  </w:num>
  <w:num w:numId="30" w16cid:durableId="1012683639">
    <w:abstractNumId w:val="10"/>
  </w:num>
  <w:num w:numId="31" w16cid:durableId="581259744">
    <w:abstractNumId w:val="37"/>
  </w:num>
  <w:num w:numId="32" w16cid:durableId="550194706">
    <w:abstractNumId w:val="19"/>
  </w:num>
  <w:num w:numId="33" w16cid:durableId="986592793">
    <w:abstractNumId w:val="35"/>
  </w:num>
  <w:num w:numId="34" w16cid:durableId="131562090">
    <w:abstractNumId w:val="30"/>
  </w:num>
  <w:num w:numId="35" w16cid:durableId="215555830">
    <w:abstractNumId w:val="22"/>
  </w:num>
  <w:num w:numId="36" w16cid:durableId="752821514">
    <w:abstractNumId w:val="14"/>
  </w:num>
  <w:num w:numId="37" w16cid:durableId="102464003">
    <w:abstractNumId w:val="20"/>
  </w:num>
  <w:num w:numId="38" w16cid:durableId="26297219">
    <w:abstractNumId w:val="15"/>
  </w:num>
  <w:num w:numId="39" w16cid:durableId="631059541">
    <w:abstractNumId w:val="7"/>
  </w:num>
  <w:num w:numId="40" w16cid:durableId="462891185">
    <w:abstractNumId w:val="1"/>
  </w:num>
  <w:num w:numId="41" w16cid:durableId="96431312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7785744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2D"/>
    <w:rsid w:val="0000046F"/>
    <w:rsid w:val="000005DE"/>
    <w:rsid w:val="00001006"/>
    <w:rsid w:val="00002951"/>
    <w:rsid w:val="00015E73"/>
    <w:rsid w:val="00015E9A"/>
    <w:rsid w:val="0001799E"/>
    <w:rsid w:val="00017C56"/>
    <w:rsid w:val="00021C67"/>
    <w:rsid w:val="00023D75"/>
    <w:rsid w:val="00024A01"/>
    <w:rsid w:val="00027AA1"/>
    <w:rsid w:val="0003250B"/>
    <w:rsid w:val="0003253A"/>
    <w:rsid w:val="00033D56"/>
    <w:rsid w:val="00034A7F"/>
    <w:rsid w:val="00035315"/>
    <w:rsid w:val="00040C78"/>
    <w:rsid w:val="00041819"/>
    <w:rsid w:val="00043A88"/>
    <w:rsid w:val="000518DD"/>
    <w:rsid w:val="00052666"/>
    <w:rsid w:val="00052968"/>
    <w:rsid w:val="00057E9A"/>
    <w:rsid w:val="00060D60"/>
    <w:rsid w:val="00061511"/>
    <w:rsid w:val="00061B24"/>
    <w:rsid w:val="00065CD5"/>
    <w:rsid w:val="00067C21"/>
    <w:rsid w:val="00070737"/>
    <w:rsid w:val="000714C3"/>
    <w:rsid w:val="00071D5E"/>
    <w:rsid w:val="00076966"/>
    <w:rsid w:val="00083EC4"/>
    <w:rsid w:val="000844AB"/>
    <w:rsid w:val="00084BD2"/>
    <w:rsid w:val="00090D81"/>
    <w:rsid w:val="00090E84"/>
    <w:rsid w:val="0009131B"/>
    <w:rsid w:val="00091F92"/>
    <w:rsid w:val="00092C74"/>
    <w:rsid w:val="00094BAA"/>
    <w:rsid w:val="000A1FA2"/>
    <w:rsid w:val="000A3B16"/>
    <w:rsid w:val="000A40E6"/>
    <w:rsid w:val="000B2C18"/>
    <w:rsid w:val="000B330B"/>
    <w:rsid w:val="000B7135"/>
    <w:rsid w:val="000C01F4"/>
    <w:rsid w:val="000C09C8"/>
    <w:rsid w:val="000C0E3B"/>
    <w:rsid w:val="000C221B"/>
    <w:rsid w:val="000C426E"/>
    <w:rsid w:val="000D3A5A"/>
    <w:rsid w:val="000D4A20"/>
    <w:rsid w:val="000D6320"/>
    <w:rsid w:val="000E4447"/>
    <w:rsid w:val="000F25D7"/>
    <w:rsid w:val="000F33CB"/>
    <w:rsid w:val="000F5003"/>
    <w:rsid w:val="0010090B"/>
    <w:rsid w:val="00104663"/>
    <w:rsid w:val="00104CB0"/>
    <w:rsid w:val="00105925"/>
    <w:rsid w:val="00107070"/>
    <w:rsid w:val="001072E6"/>
    <w:rsid w:val="001120C4"/>
    <w:rsid w:val="0011425D"/>
    <w:rsid w:val="001146BF"/>
    <w:rsid w:val="0011479C"/>
    <w:rsid w:val="00114A56"/>
    <w:rsid w:val="00117D9A"/>
    <w:rsid w:val="00121CF0"/>
    <w:rsid w:val="00121E38"/>
    <w:rsid w:val="001316F6"/>
    <w:rsid w:val="00134A06"/>
    <w:rsid w:val="0014000F"/>
    <w:rsid w:val="0014141F"/>
    <w:rsid w:val="00141D98"/>
    <w:rsid w:val="00144E81"/>
    <w:rsid w:val="00151703"/>
    <w:rsid w:val="0016308D"/>
    <w:rsid w:val="00164873"/>
    <w:rsid w:val="00165F70"/>
    <w:rsid w:val="001661D9"/>
    <w:rsid w:val="00166BEA"/>
    <w:rsid w:val="00170818"/>
    <w:rsid w:val="0017288F"/>
    <w:rsid w:val="00174020"/>
    <w:rsid w:val="00174D84"/>
    <w:rsid w:val="00176753"/>
    <w:rsid w:val="001777E5"/>
    <w:rsid w:val="00182839"/>
    <w:rsid w:val="00185AFE"/>
    <w:rsid w:val="00186F4C"/>
    <w:rsid w:val="0019262C"/>
    <w:rsid w:val="001955E9"/>
    <w:rsid w:val="0019723F"/>
    <w:rsid w:val="001A4A79"/>
    <w:rsid w:val="001A773F"/>
    <w:rsid w:val="001A7827"/>
    <w:rsid w:val="001B1B9C"/>
    <w:rsid w:val="001B2F14"/>
    <w:rsid w:val="001B4688"/>
    <w:rsid w:val="001C2E5E"/>
    <w:rsid w:val="001C3B16"/>
    <w:rsid w:val="001C495F"/>
    <w:rsid w:val="001C597C"/>
    <w:rsid w:val="001D0247"/>
    <w:rsid w:val="001D3924"/>
    <w:rsid w:val="001D3AED"/>
    <w:rsid w:val="001D4C0D"/>
    <w:rsid w:val="001D5027"/>
    <w:rsid w:val="001D5163"/>
    <w:rsid w:val="001D5407"/>
    <w:rsid w:val="001D6F48"/>
    <w:rsid w:val="001E3E87"/>
    <w:rsid w:val="001E4083"/>
    <w:rsid w:val="001E4698"/>
    <w:rsid w:val="001E69B5"/>
    <w:rsid w:val="001E6A66"/>
    <w:rsid w:val="001E6CFA"/>
    <w:rsid w:val="001F0601"/>
    <w:rsid w:val="001F4FA0"/>
    <w:rsid w:val="001F73C8"/>
    <w:rsid w:val="00200B38"/>
    <w:rsid w:val="00201A76"/>
    <w:rsid w:val="002025F9"/>
    <w:rsid w:val="00205C43"/>
    <w:rsid w:val="00207411"/>
    <w:rsid w:val="00210142"/>
    <w:rsid w:val="00210E41"/>
    <w:rsid w:val="00211824"/>
    <w:rsid w:val="002141C8"/>
    <w:rsid w:val="00215F8D"/>
    <w:rsid w:val="002170E6"/>
    <w:rsid w:val="00220965"/>
    <w:rsid w:val="00223B9B"/>
    <w:rsid w:val="00227DAA"/>
    <w:rsid w:val="00231E14"/>
    <w:rsid w:val="00241628"/>
    <w:rsid w:val="00242C14"/>
    <w:rsid w:val="002467D5"/>
    <w:rsid w:val="00252416"/>
    <w:rsid w:val="00253CFC"/>
    <w:rsid w:val="002560D8"/>
    <w:rsid w:val="002633DB"/>
    <w:rsid w:val="0026796B"/>
    <w:rsid w:val="00275282"/>
    <w:rsid w:val="0028303E"/>
    <w:rsid w:val="00284674"/>
    <w:rsid w:val="00285B40"/>
    <w:rsid w:val="00285DD4"/>
    <w:rsid w:val="00293D7A"/>
    <w:rsid w:val="00295093"/>
    <w:rsid w:val="002967D4"/>
    <w:rsid w:val="002969CB"/>
    <w:rsid w:val="002A000F"/>
    <w:rsid w:val="002A048A"/>
    <w:rsid w:val="002A14BA"/>
    <w:rsid w:val="002A24AD"/>
    <w:rsid w:val="002A3234"/>
    <w:rsid w:val="002A4118"/>
    <w:rsid w:val="002A486E"/>
    <w:rsid w:val="002A529C"/>
    <w:rsid w:val="002B0C37"/>
    <w:rsid w:val="002B17AE"/>
    <w:rsid w:val="002B197E"/>
    <w:rsid w:val="002B379B"/>
    <w:rsid w:val="002B5DFD"/>
    <w:rsid w:val="002B62BC"/>
    <w:rsid w:val="002B7F19"/>
    <w:rsid w:val="002C2CCF"/>
    <w:rsid w:val="002C419A"/>
    <w:rsid w:val="002C707C"/>
    <w:rsid w:val="002D11FD"/>
    <w:rsid w:val="002D26B0"/>
    <w:rsid w:val="002D3E91"/>
    <w:rsid w:val="002D4A44"/>
    <w:rsid w:val="002D54D7"/>
    <w:rsid w:val="002D7313"/>
    <w:rsid w:val="002E02B1"/>
    <w:rsid w:val="002E396B"/>
    <w:rsid w:val="002E3D2C"/>
    <w:rsid w:val="002F1879"/>
    <w:rsid w:val="002F1D45"/>
    <w:rsid w:val="002F3420"/>
    <w:rsid w:val="002F42B2"/>
    <w:rsid w:val="002F63A1"/>
    <w:rsid w:val="003036BA"/>
    <w:rsid w:val="00304392"/>
    <w:rsid w:val="0030758F"/>
    <w:rsid w:val="00313105"/>
    <w:rsid w:val="003141B6"/>
    <w:rsid w:val="003146F4"/>
    <w:rsid w:val="00321775"/>
    <w:rsid w:val="00321EB5"/>
    <w:rsid w:val="00322DAA"/>
    <w:rsid w:val="00323E56"/>
    <w:rsid w:val="00327067"/>
    <w:rsid w:val="00327078"/>
    <w:rsid w:val="00330A48"/>
    <w:rsid w:val="00332A2D"/>
    <w:rsid w:val="0033583E"/>
    <w:rsid w:val="00336145"/>
    <w:rsid w:val="0034128C"/>
    <w:rsid w:val="003412F9"/>
    <w:rsid w:val="003415A6"/>
    <w:rsid w:val="00344CE5"/>
    <w:rsid w:val="003469D0"/>
    <w:rsid w:val="003504E9"/>
    <w:rsid w:val="003519F1"/>
    <w:rsid w:val="00351EDC"/>
    <w:rsid w:val="003520A4"/>
    <w:rsid w:val="00353818"/>
    <w:rsid w:val="003541F4"/>
    <w:rsid w:val="00355460"/>
    <w:rsid w:val="0035702D"/>
    <w:rsid w:val="00360535"/>
    <w:rsid w:val="003628EB"/>
    <w:rsid w:val="0036342D"/>
    <w:rsid w:val="00363602"/>
    <w:rsid w:val="003639EB"/>
    <w:rsid w:val="00364197"/>
    <w:rsid w:val="00373A9F"/>
    <w:rsid w:val="003756EB"/>
    <w:rsid w:val="003763CB"/>
    <w:rsid w:val="00380D62"/>
    <w:rsid w:val="00381001"/>
    <w:rsid w:val="0038145D"/>
    <w:rsid w:val="00382E5B"/>
    <w:rsid w:val="00383853"/>
    <w:rsid w:val="00384980"/>
    <w:rsid w:val="003874CB"/>
    <w:rsid w:val="00390B86"/>
    <w:rsid w:val="00391E44"/>
    <w:rsid w:val="00393CE8"/>
    <w:rsid w:val="003940D4"/>
    <w:rsid w:val="003A0AEE"/>
    <w:rsid w:val="003A5252"/>
    <w:rsid w:val="003A7420"/>
    <w:rsid w:val="003A75E8"/>
    <w:rsid w:val="003B2723"/>
    <w:rsid w:val="003B3AC6"/>
    <w:rsid w:val="003B3FFE"/>
    <w:rsid w:val="003C1744"/>
    <w:rsid w:val="003C615D"/>
    <w:rsid w:val="003D112E"/>
    <w:rsid w:val="003D12A0"/>
    <w:rsid w:val="003D1A98"/>
    <w:rsid w:val="003D37D6"/>
    <w:rsid w:val="003D3FE2"/>
    <w:rsid w:val="003D4E93"/>
    <w:rsid w:val="003D640F"/>
    <w:rsid w:val="003D7316"/>
    <w:rsid w:val="003D7D09"/>
    <w:rsid w:val="003E17F3"/>
    <w:rsid w:val="003F7D7E"/>
    <w:rsid w:val="00402953"/>
    <w:rsid w:val="00410A00"/>
    <w:rsid w:val="0041108E"/>
    <w:rsid w:val="0041189C"/>
    <w:rsid w:val="004127AE"/>
    <w:rsid w:val="0041399D"/>
    <w:rsid w:val="00416591"/>
    <w:rsid w:val="00416D80"/>
    <w:rsid w:val="00417315"/>
    <w:rsid w:val="00420CA6"/>
    <w:rsid w:val="00422716"/>
    <w:rsid w:val="004360DF"/>
    <w:rsid w:val="00440B9E"/>
    <w:rsid w:val="004423FC"/>
    <w:rsid w:val="0044242A"/>
    <w:rsid w:val="00442439"/>
    <w:rsid w:val="00442B34"/>
    <w:rsid w:val="00443AB2"/>
    <w:rsid w:val="00444E10"/>
    <w:rsid w:val="004462AC"/>
    <w:rsid w:val="0044635D"/>
    <w:rsid w:val="00446720"/>
    <w:rsid w:val="004511F5"/>
    <w:rsid w:val="004570C8"/>
    <w:rsid w:val="00457310"/>
    <w:rsid w:val="00457471"/>
    <w:rsid w:val="0045757E"/>
    <w:rsid w:val="00460D49"/>
    <w:rsid w:val="004642B5"/>
    <w:rsid w:val="00465AB7"/>
    <w:rsid w:val="00465CAE"/>
    <w:rsid w:val="004701DE"/>
    <w:rsid w:val="004702C9"/>
    <w:rsid w:val="00472E27"/>
    <w:rsid w:val="004772EC"/>
    <w:rsid w:val="00477BF4"/>
    <w:rsid w:val="004811E6"/>
    <w:rsid w:val="00482836"/>
    <w:rsid w:val="00482EE5"/>
    <w:rsid w:val="00483326"/>
    <w:rsid w:val="00486D54"/>
    <w:rsid w:val="00486E60"/>
    <w:rsid w:val="00491213"/>
    <w:rsid w:val="0049327F"/>
    <w:rsid w:val="00493B58"/>
    <w:rsid w:val="0049433A"/>
    <w:rsid w:val="004949B8"/>
    <w:rsid w:val="004A0234"/>
    <w:rsid w:val="004A11FE"/>
    <w:rsid w:val="004A465D"/>
    <w:rsid w:val="004A6349"/>
    <w:rsid w:val="004A7ADD"/>
    <w:rsid w:val="004B30CA"/>
    <w:rsid w:val="004B7C73"/>
    <w:rsid w:val="004C1DD3"/>
    <w:rsid w:val="004C23B8"/>
    <w:rsid w:val="004C41FA"/>
    <w:rsid w:val="004C6BFB"/>
    <w:rsid w:val="004D0892"/>
    <w:rsid w:val="004D0B9B"/>
    <w:rsid w:val="004D0E4A"/>
    <w:rsid w:val="004D67B3"/>
    <w:rsid w:val="004F105E"/>
    <w:rsid w:val="004F2C2F"/>
    <w:rsid w:val="004F6E39"/>
    <w:rsid w:val="004F7211"/>
    <w:rsid w:val="00500D8B"/>
    <w:rsid w:val="00502AFF"/>
    <w:rsid w:val="00504A78"/>
    <w:rsid w:val="00505244"/>
    <w:rsid w:val="00505C65"/>
    <w:rsid w:val="00506758"/>
    <w:rsid w:val="00510D59"/>
    <w:rsid w:val="005151B5"/>
    <w:rsid w:val="00517856"/>
    <w:rsid w:val="005206B2"/>
    <w:rsid w:val="00520DF1"/>
    <w:rsid w:val="00523407"/>
    <w:rsid w:val="00523A05"/>
    <w:rsid w:val="00525891"/>
    <w:rsid w:val="0052668A"/>
    <w:rsid w:val="00527F31"/>
    <w:rsid w:val="0053363E"/>
    <w:rsid w:val="005336C5"/>
    <w:rsid w:val="005376CB"/>
    <w:rsid w:val="00540BCE"/>
    <w:rsid w:val="005411C5"/>
    <w:rsid w:val="00541F28"/>
    <w:rsid w:val="0054241F"/>
    <w:rsid w:val="0054746D"/>
    <w:rsid w:val="00551F45"/>
    <w:rsid w:val="00555F01"/>
    <w:rsid w:val="0055767F"/>
    <w:rsid w:val="00564E0C"/>
    <w:rsid w:val="00565A4C"/>
    <w:rsid w:val="00566CE5"/>
    <w:rsid w:val="00570D65"/>
    <w:rsid w:val="005722AA"/>
    <w:rsid w:val="005762F3"/>
    <w:rsid w:val="00577FB4"/>
    <w:rsid w:val="00581E03"/>
    <w:rsid w:val="00583985"/>
    <w:rsid w:val="005842B4"/>
    <w:rsid w:val="00587CF1"/>
    <w:rsid w:val="005902A9"/>
    <w:rsid w:val="0059062E"/>
    <w:rsid w:val="00590A10"/>
    <w:rsid w:val="0059297F"/>
    <w:rsid w:val="00593176"/>
    <w:rsid w:val="00594006"/>
    <w:rsid w:val="00594D78"/>
    <w:rsid w:val="00594F41"/>
    <w:rsid w:val="00596126"/>
    <w:rsid w:val="005A11DA"/>
    <w:rsid w:val="005A59C2"/>
    <w:rsid w:val="005A5B4F"/>
    <w:rsid w:val="005A6FCB"/>
    <w:rsid w:val="005A7F6C"/>
    <w:rsid w:val="005B0961"/>
    <w:rsid w:val="005B16F4"/>
    <w:rsid w:val="005B186D"/>
    <w:rsid w:val="005B3311"/>
    <w:rsid w:val="005B62EC"/>
    <w:rsid w:val="005C047E"/>
    <w:rsid w:val="005C11FA"/>
    <w:rsid w:val="005C261D"/>
    <w:rsid w:val="005C3781"/>
    <w:rsid w:val="005C3955"/>
    <w:rsid w:val="005C5095"/>
    <w:rsid w:val="005C6411"/>
    <w:rsid w:val="005C7DF8"/>
    <w:rsid w:val="005D0EDF"/>
    <w:rsid w:val="005D3ACC"/>
    <w:rsid w:val="005D6B46"/>
    <w:rsid w:val="005D6C52"/>
    <w:rsid w:val="005E0BAE"/>
    <w:rsid w:val="005E0E65"/>
    <w:rsid w:val="005E1970"/>
    <w:rsid w:val="005E36FF"/>
    <w:rsid w:val="005E5941"/>
    <w:rsid w:val="005F14FC"/>
    <w:rsid w:val="005F2A4C"/>
    <w:rsid w:val="005F36BF"/>
    <w:rsid w:val="005F7D12"/>
    <w:rsid w:val="00601262"/>
    <w:rsid w:val="00604D84"/>
    <w:rsid w:val="00607722"/>
    <w:rsid w:val="006129FD"/>
    <w:rsid w:val="00616EC7"/>
    <w:rsid w:val="0062116B"/>
    <w:rsid w:val="00622CC0"/>
    <w:rsid w:val="0062439C"/>
    <w:rsid w:val="0062501A"/>
    <w:rsid w:val="006259D1"/>
    <w:rsid w:val="0063180F"/>
    <w:rsid w:val="00631923"/>
    <w:rsid w:val="00632C12"/>
    <w:rsid w:val="0063306E"/>
    <w:rsid w:val="00643136"/>
    <w:rsid w:val="0064321C"/>
    <w:rsid w:val="006452AD"/>
    <w:rsid w:val="00647B74"/>
    <w:rsid w:val="00650847"/>
    <w:rsid w:val="00650AC5"/>
    <w:rsid w:val="00652438"/>
    <w:rsid w:val="00653552"/>
    <w:rsid w:val="00654C7D"/>
    <w:rsid w:val="0065507F"/>
    <w:rsid w:val="0065710F"/>
    <w:rsid w:val="00660B10"/>
    <w:rsid w:val="006621CC"/>
    <w:rsid w:val="00663B0C"/>
    <w:rsid w:val="00670377"/>
    <w:rsid w:val="006772E7"/>
    <w:rsid w:val="006777B9"/>
    <w:rsid w:val="00680E60"/>
    <w:rsid w:val="00681461"/>
    <w:rsid w:val="006817D9"/>
    <w:rsid w:val="006821E9"/>
    <w:rsid w:val="006831DC"/>
    <w:rsid w:val="00687034"/>
    <w:rsid w:val="006873AA"/>
    <w:rsid w:val="006874AA"/>
    <w:rsid w:val="006920B0"/>
    <w:rsid w:val="00692183"/>
    <w:rsid w:val="00692480"/>
    <w:rsid w:val="006932A5"/>
    <w:rsid w:val="006934C7"/>
    <w:rsid w:val="00697787"/>
    <w:rsid w:val="006A0B53"/>
    <w:rsid w:val="006A0DAB"/>
    <w:rsid w:val="006A190F"/>
    <w:rsid w:val="006A2937"/>
    <w:rsid w:val="006A3523"/>
    <w:rsid w:val="006B0525"/>
    <w:rsid w:val="006B24AE"/>
    <w:rsid w:val="006B6C9F"/>
    <w:rsid w:val="006C2A2F"/>
    <w:rsid w:val="006C550F"/>
    <w:rsid w:val="006C599B"/>
    <w:rsid w:val="006C69B6"/>
    <w:rsid w:val="006D02FC"/>
    <w:rsid w:val="006D096B"/>
    <w:rsid w:val="006D2F5B"/>
    <w:rsid w:val="006D31AB"/>
    <w:rsid w:val="006D446E"/>
    <w:rsid w:val="006D4A1A"/>
    <w:rsid w:val="006D5343"/>
    <w:rsid w:val="006D6A18"/>
    <w:rsid w:val="006D6BB5"/>
    <w:rsid w:val="006D7BFC"/>
    <w:rsid w:val="006E3B17"/>
    <w:rsid w:val="006F6C87"/>
    <w:rsid w:val="006F6F42"/>
    <w:rsid w:val="0070502C"/>
    <w:rsid w:val="007074FD"/>
    <w:rsid w:val="0070798C"/>
    <w:rsid w:val="00715990"/>
    <w:rsid w:val="0071635C"/>
    <w:rsid w:val="00720592"/>
    <w:rsid w:val="00721E50"/>
    <w:rsid w:val="00722E0A"/>
    <w:rsid w:val="00722FB0"/>
    <w:rsid w:val="00723860"/>
    <w:rsid w:val="007250AC"/>
    <w:rsid w:val="007268F5"/>
    <w:rsid w:val="00731485"/>
    <w:rsid w:val="00731792"/>
    <w:rsid w:val="00732067"/>
    <w:rsid w:val="0074265D"/>
    <w:rsid w:val="00742C4F"/>
    <w:rsid w:val="0074666A"/>
    <w:rsid w:val="007472D6"/>
    <w:rsid w:val="00753AD5"/>
    <w:rsid w:val="00754771"/>
    <w:rsid w:val="007573E5"/>
    <w:rsid w:val="00762309"/>
    <w:rsid w:val="00765478"/>
    <w:rsid w:val="00765EFC"/>
    <w:rsid w:val="00766175"/>
    <w:rsid w:val="00767D54"/>
    <w:rsid w:val="00777554"/>
    <w:rsid w:val="00777FC6"/>
    <w:rsid w:val="0078331C"/>
    <w:rsid w:val="00785008"/>
    <w:rsid w:val="00786FBC"/>
    <w:rsid w:val="007908A3"/>
    <w:rsid w:val="00791AA8"/>
    <w:rsid w:val="00791FC4"/>
    <w:rsid w:val="007922D4"/>
    <w:rsid w:val="00795E68"/>
    <w:rsid w:val="00796645"/>
    <w:rsid w:val="00797CC2"/>
    <w:rsid w:val="00797D6C"/>
    <w:rsid w:val="007A1AE0"/>
    <w:rsid w:val="007A3BCE"/>
    <w:rsid w:val="007A706D"/>
    <w:rsid w:val="007A73F6"/>
    <w:rsid w:val="007B0961"/>
    <w:rsid w:val="007B2C20"/>
    <w:rsid w:val="007B42EE"/>
    <w:rsid w:val="007C4B89"/>
    <w:rsid w:val="007C6BED"/>
    <w:rsid w:val="007D55B1"/>
    <w:rsid w:val="007D57A8"/>
    <w:rsid w:val="007D73E9"/>
    <w:rsid w:val="007E0556"/>
    <w:rsid w:val="007E1456"/>
    <w:rsid w:val="007E17FA"/>
    <w:rsid w:val="007E44F5"/>
    <w:rsid w:val="007E4ED6"/>
    <w:rsid w:val="007E56C6"/>
    <w:rsid w:val="007F0C04"/>
    <w:rsid w:val="007F2F1F"/>
    <w:rsid w:val="007F46D2"/>
    <w:rsid w:val="007F4EC6"/>
    <w:rsid w:val="007F7FD1"/>
    <w:rsid w:val="00800B09"/>
    <w:rsid w:val="0080221D"/>
    <w:rsid w:val="00802FF6"/>
    <w:rsid w:val="00803F2B"/>
    <w:rsid w:val="008041BD"/>
    <w:rsid w:val="008053A6"/>
    <w:rsid w:val="00805B41"/>
    <w:rsid w:val="008105D3"/>
    <w:rsid w:val="00814D2E"/>
    <w:rsid w:val="008158A3"/>
    <w:rsid w:val="008166F7"/>
    <w:rsid w:val="008208C7"/>
    <w:rsid w:val="00825012"/>
    <w:rsid w:val="008310FF"/>
    <w:rsid w:val="00833C2D"/>
    <w:rsid w:val="008379B1"/>
    <w:rsid w:val="0084556B"/>
    <w:rsid w:val="0084716E"/>
    <w:rsid w:val="00853B01"/>
    <w:rsid w:val="00853F30"/>
    <w:rsid w:val="008540B3"/>
    <w:rsid w:val="0085574D"/>
    <w:rsid w:val="00855E21"/>
    <w:rsid w:val="00856CFF"/>
    <w:rsid w:val="0086016B"/>
    <w:rsid w:val="00860963"/>
    <w:rsid w:val="008612B0"/>
    <w:rsid w:val="008637A0"/>
    <w:rsid w:val="00864000"/>
    <w:rsid w:val="00864EFE"/>
    <w:rsid w:val="00865D5B"/>
    <w:rsid w:val="0086631A"/>
    <w:rsid w:val="0086796B"/>
    <w:rsid w:val="008757F8"/>
    <w:rsid w:val="008773E5"/>
    <w:rsid w:val="00881AEC"/>
    <w:rsid w:val="00884341"/>
    <w:rsid w:val="00884362"/>
    <w:rsid w:val="00887535"/>
    <w:rsid w:val="00887BB0"/>
    <w:rsid w:val="0089022F"/>
    <w:rsid w:val="008A05F2"/>
    <w:rsid w:val="008A240F"/>
    <w:rsid w:val="008B116A"/>
    <w:rsid w:val="008B2BCE"/>
    <w:rsid w:val="008B46A7"/>
    <w:rsid w:val="008B5F7B"/>
    <w:rsid w:val="008B7348"/>
    <w:rsid w:val="008C075C"/>
    <w:rsid w:val="008C093B"/>
    <w:rsid w:val="008C4341"/>
    <w:rsid w:val="008C5AA7"/>
    <w:rsid w:val="008C6D05"/>
    <w:rsid w:val="008D1510"/>
    <w:rsid w:val="008D384B"/>
    <w:rsid w:val="008D3922"/>
    <w:rsid w:val="008D44E3"/>
    <w:rsid w:val="008D4E58"/>
    <w:rsid w:val="008D7A2F"/>
    <w:rsid w:val="008E2ED6"/>
    <w:rsid w:val="008E4786"/>
    <w:rsid w:val="008E5D55"/>
    <w:rsid w:val="008F26AD"/>
    <w:rsid w:val="008F2E64"/>
    <w:rsid w:val="008F2FB3"/>
    <w:rsid w:val="008F4B39"/>
    <w:rsid w:val="008F78D5"/>
    <w:rsid w:val="00902F55"/>
    <w:rsid w:val="0090470C"/>
    <w:rsid w:val="00906198"/>
    <w:rsid w:val="00910718"/>
    <w:rsid w:val="009116B8"/>
    <w:rsid w:val="00911CA6"/>
    <w:rsid w:val="00916FEB"/>
    <w:rsid w:val="009170D7"/>
    <w:rsid w:val="0091745E"/>
    <w:rsid w:val="009233F5"/>
    <w:rsid w:val="00924109"/>
    <w:rsid w:val="009261C4"/>
    <w:rsid w:val="00926D5C"/>
    <w:rsid w:val="00930956"/>
    <w:rsid w:val="009360D1"/>
    <w:rsid w:val="009364DE"/>
    <w:rsid w:val="00947BF1"/>
    <w:rsid w:val="0095097F"/>
    <w:rsid w:val="00950F2C"/>
    <w:rsid w:val="009512A7"/>
    <w:rsid w:val="009543EE"/>
    <w:rsid w:val="00967F32"/>
    <w:rsid w:val="009702DE"/>
    <w:rsid w:val="00971B64"/>
    <w:rsid w:val="00973331"/>
    <w:rsid w:val="00974712"/>
    <w:rsid w:val="00976266"/>
    <w:rsid w:val="00977BEF"/>
    <w:rsid w:val="0098218D"/>
    <w:rsid w:val="00990E54"/>
    <w:rsid w:val="00990F3D"/>
    <w:rsid w:val="00996B36"/>
    <w:rsid w:val="009A239C"/>
    <w:rsid w:val="009A3976"/>
    <w:rsid w:val="009A3AAF"/>
    <w:rsid w:val="009A3EAE"/>
    <w:rsid w:val="009A4956"/>
    <w:rsid w:val="009A6156"/>
    <w:rsid w:val="009A7747"/>
    <w:rsid w:val="009A7DCC"/>
    <w:rsid w:val="009A7E35"/>
    <w:rsid w:val="009B0652"/>
    <w:rsid w:val="009B23BA"/>
    <w:rsid w:val="009B271F"/>
    <w:rsid w:val="009B2AEC"/>
    <w:rsid w:val="009B2C68"/>
    <w:rsid w:val="009B6ADC"/>
    <w:rsid w:val="009C1BFF"/>
    <w:rsid w:val="009C4DE4"/>
    <w:rsid w:val="009C79C4"/>
    <w:rsid w:val="009D219C"/>
    <w:rsid w:val="009D22F8"/>
    <w:rsid w:val="009D2CDF"/>
    <w:rsid w:val="009D3510"/>
    <w:rsid w:val="009D72AA"/>
    <w:rsid w:val="009E393C"/>
    <w:rsid w:val="009E6008"/>
    <w:rsid w:val="009E6385"/>
    <w:rsid w:val="009E6EE9"/>
    <w:rsid w:val="009F0268"/>
    <w:rsid w:val="009F1F2E"/>
    <w:rsid w:val="009F4313"/>
    <w:rsid w:val="009F494B"/>
    <w:rsid w:val="00A009EA"/>
    <w:rsid w:val="00A06892"/>
    <w:rsid w:val="00A07761"/>
    <w:rsid w:val="00A12D02"/>
    <w:rsid w:val="00A139C5"/>
    <w:rsid w:val="00A17980"/>
    <w:rsid w:val="00A21E33"/>
    <w:rsid w:val="00A21E81"/>
    <w:rsid w:val="00A25047"/>
    <w:rsid w:val="00A30934"/>
    <w:rsid w:val="00A33184"/>
    <w:rsid w:val="00A33C56"/>
    <w:rsid w:val="00A36342"/>
    <w:rsid w:val="00A4099B"/>
    <w:rsid w:val="00A42896"/>
    <w:rsid w:val="00A43179"/>
    <w:rsid w:val="00A45310"/>
    <w:rsid w:val="00A4771A"/>
    <w:rsid w:val="00A50D78"/>
    <w:rsid w:val="00A52005"/>
    <w:rsid w:val="00A53223"/>
    <w:rsid w:val="00A57BE7"/>
    <w:rsid w:val="00A611EE"/>
    <w:rsid w:val="00A6545C"/>
    <w:rsid w:val="00A6563F"/>
    <w:rsid w:val="00A66CCA"/>
    <w:rsid w:val="00A67F48"/>
    <w:rsid w:val="00A704D5"/>
    <w:rsid w:val="00A70752"/>
    <w:rsid w:val="00A7774E"/>
    <w:rsid w:val="00A8467A"/>
    <w:rsid w:val="00A86C97"/>
    <w:rsid w:val="00A86DE0"/>
    <w:rsid w:val="00A86E28"/>
    <w:rsid w:val="00A92AC5"/>
    <w:rsid w:val="00A93E28"/>
    <w:rsid w:val="00AA6824"/>
    <w:rsid w:val="00AA701D"/>
    <w:rsid w:val="00AB4207"/>
    <w:rsid w:val="00AC2B6A"/>
    <w:rsid w:val="00AD0FD6"/>
    <w:rsid w:val="00AD7994"/>
    <w:rsid w:val="00AE0A20"/>
    <w:rsid w:val="00AE31C7"/>
    <w:rsid w:val="00AE3911"/>
    <w:rsid w:val="00AE3DD9"/>
    <w:rsid w:val="00AE709A"/>
    <w:rsid w:val="00AE784D"/>
    <w:rsid w:val="00AF7E75"/>
    <w:rsid w:val="00B005D4"/>
    <w:rsid w:val="00B00868"/>
    <w:rsid w:val="00B01558"/>
    <w:rsid w:val="00B02FB1"/>
    <w:rsid w:val="00B0645A"/>
    <w:rsid w:val="00B06847"/>
    <w:rsid w:val="00B07042"/>
    <w:rsid w:val="00B071FD"/>
    <w:rsid w:val="00B07868"/>
    <w:rsid w:val="00B1340A"/>
    <w:rsid w:val="00B159DB"/>
    <w:rsid w:val="00B21B6E"/>
    <w:rsid w:val="00B220B5"/>
    <w:rsid w:val="00B22EA9"/>
    <w:rsid w:val="00B24F0E"/>
    <w:rsid w:val="00B262E4"/>
    <w:rsid w:val="00B313EF"/>
    <w:rsid w:val="00B40077"/>
    <w:rsid w:val="00B42160"/>
    <w:rsid w:val="00B43D5E"/>
    <w:rsid w:val="00B45A43"/>
    <w:rsid w:val="00B45D4C"/>
    <w:rsid w:val="00B54914"/>
    <w:rsid w:val="00B5501D"/>
    <w:rsid w:val="00B61668"/>
    <w:rsid w:val="00B6613A"/>
    <w:rsid w:val="00B70AB8"/>
    <w:rsid w:val="00B7110A"/>
    <w:rsid w:val="00B71D96"/>
    <w:rsid w:val="00B73845"/>
    <w:rsid w:val="00B76BA6"/>
    <w:rsid w:val="00B76BE5"/>
    <w:rsid w:val="00B80094"/>
    <w:rsid w:val="00B81523"/>
    <w:rsid w:val="00B81683"/>
    <w:rsid w:val="00B85469"/>
    <w:rsid w:val="00B902AE"/>
    <w:rsid w:val="00B9337F"/>
    <w:rsid w:val="00B94BF5"/>
    <w:rsid w:val="00B958C0"/>
    <w:rsid w:val="00B979BB"/>
    <w:rsid w:val="00B97F8D"/>
    <w:rsid w:val="00BA020C"/>
    <w:rsid w:val="00BA0D9F"/>
    <w:rsid w:val="00BA31AE"/>
    <w:rsid w:val="00BA7B2F"/>
    <w:rsid w:val="00BB4689"/>
    <w:rsid w:val="00BB5D21"/>
    <w:rsid w:val="00BB6C89"/>
    <w:rsid w:val="00BB72FD"/>
    <w:rsid w:val="00BC1036"/>
    <w:rsid w:val="00BC2D8F"/>
    <w:rsid w:val="00BC4302"/>
    <w:rsid w:val="00BC57BB"/>
    <w:rsid w:val="00BD13D0"/>
    <w:rsid w:val="00BD2CE8"/>
    <w:rsid w:val="00BD2E2F"/>
    <w:rsid w:val="00BD6B49"/>
    <w:rsid w:val="00BD7DD2"/>
    <w:rsid w:val="00BE0B38"/>
    <w:rsid w:val="00BE1BCC"/>
    <w:rsid w:val="00BE4777"/>
    <w:rsid w:val="00BF47AC"/>
    <w:rsid w:val="00BF71A1"/>
    <w:rsid w:val="00C017C5"/>
    <w:rsid w:val="00C01E2F"/>
    <w:rsid w:val="00C02BA6"/>
    <w:rsid w:val="00C03393"/>
    <w:rsid w:val="00C05C30"/>
    <w:rsid w:val="00C061C7"/>
    <w:rsid w:val="00C07C7D"/>
    <w:rsid w:val="00C13035"/>
    <w:rsid w:val="00C13F1C"/>
    <w:rsid w:val="00C1435D"/>
    <w:rsid w:val="00C162ED"/>
    <w:rsid w:val="00C202C1"/>
    <w:rsid w:val="00C2639C"/>
    <w:rsid w:val="00C263CC"/>
    <w:rsid w:val="00C276C8"/>
    <w:rsid w:val="00C2797C"/>
    <w:rsid w:val="00C34A5B"/>
    <w:rsid w:val="00C36E6D"/>
    <w:rsid w:val="00C3787E"/>
    <w:rsid w:val="00C42011"/>
    <w:rsid w:val="00C42BCF"/>
    <w:rsid w:val="00C4392E"/>
    <w:rsid w:val="00C45E9C"/>
    <w:rsid w:val="00C4774B"/>
    <w:rsid w:val="00C52B44"/>
    <w:rsid w:val="00C557BA"/>
    <w:rsid w:val="00C55C70"/>
    <w:rsid w:val="00C56EF3"/>
    <w:rsid w:val="00C57B14"/>
    <w:rsid w:val="00C65B54"/>
    <w:rsid w:val="00C71521"/>
    <w:rsid w:val="00C74121"/>
    <w:rsid w:val="00C74475"/>
    <w:rsid w:val="00C74538"/>
    <w:rsid w:val="00C74BFC"/>
    <w:rsid w:val="00C74C7A"/>
    <w:rsid w:val="00C8361D"/>
    <w:rsid w:val="00C868DA"/>
    <w:rsid w:val="00C90CAE"/>
    <w:rsid w:val="00C93054"/>
    <w:rsid w:val="00C957D8"/>
    <w:rsid w:val="00C95A94"/>
    <w:rsid w:val="00CA0618"/>
    <w:rsid w:val="00CA21C4"/>
    <w:rsid w:val="00CA2547"/>
    <w:rsid w:val="00CA2EC3"/>
    <w:rsid w:val="00CA4724"/>
    <w:rsid w:val="00CB00BE"/>
    <w:rsid w:val="00CB13E7"/>
    <w:rsid w:val="00CB191E"/>
    <w:rsid w:val="00CB2604"/>
    <w:rsid w:val="00CB2DB1"/>
    <w:rsid w:val="00CB3F7E"/>
    <w:rsid w:val="00CB47FC"/>
    <w:rsid w:val="00CB7E0F"/>
    <w:rsid w:val="00CC06D9"/>
    <w:rsid w:val="00CC32B5"/>
    <w:rsid w:val="00CC6C12"/>
    <w:rsid w:val="00CD2415"/>
    <w:rsid w:val="00CD2980"/>
    <w:rsid w:val="00CD2DF0"/>
    <w:rsid w:val="00CD3789"/>
    <w:rsid w:val="00CD4F00"/>
    <w:rsid w:val="00CD6C55"/>
    <w:rsid w:val="00CE1988"/>
    <w:rsid w:val="00CE3A39"/>
    <w:rsid w:val="00CE5F46"/>
    <w:rsid w:val="00CE715D"/>
    <w:rsid w:val="00CF1C08"/>
    <w:rsid w:val="00CF61B0"/>
    <w:rsid w:val="00CF6965"/>
    <w:rsid w:val="00CF6EC5"/>
    <w:rsid w:val="00D01A21"/>
    <w:rsid w:val="00D02B6A"/>
    <w:rsid w:val="00D04273"/>
    <w:rsid w:val="00D06451"/>
    <w:rsid w:val="00D10464"/>
    <w:rsid w:val="00D11438"/>
    <w:rsid w:val="00D11F00"/>
    <w:rsid w:val="00D11FD0"/>
    <w:rsid w:val="00D1286E"/>
    <w:rsid w:val="00D210E0"/>
    <w:rsid w:val="00D26E50"/>
    <w:rsid w:val="00D273C4"/>
    <w:rsid w:val="00D30B3E"/>
    <w:rsid w:val="00D31782"/>
    <w:rsid w:val="00D321C7"/>
    <w:rsid w:val="00D332C1"/>
    <w:rsid w:val="00D36F44"/>
    <w:rsid w:val="00D41CF4"/>
    <w:rsid w:val="00D44556"/>
    <w:rsid w:val="00D45F11"/>
    <w:rsid w:val="00D45F7B"/>
    <w:rsid w:val="00D46167"/>
    <w:rsid w:val="00D504EF"/>
    <w:rsid w:val="00D518FB"/>
    <w:rsid w:val="00D54DB4"/>
    <w:rsid w:val="00D56750"/>
    <w:rsid w:val="00D56AAE"/>
    <w:rsid w:val="00D60144"/>
    <w:rsid w:val="00D623F3"/>
    <w:rsid w:val="00D62A61"/>
    <w:rsid w:val="00D721CB"/>
    <w:rsid w:val="00D72322"/>
    <w:rsid w:val="00D729EE"/>
    <w:rsid w:val="00D739D3"/>
    <w:rsid w:val="00D73BF5"/>
    <w:rsid w:val="00D73E04"/>
    <w:rsid w:val="00D7586C"/>
    <w:rsid w:val="00D77E8F"/>
    <w:rsid w:val="00D81728"/>
    <w:rsid w:val="00D828C6"/>
    <w:rsid w:val="00D91FF4"/>
    <w:rsid w:val="00D95FC4"/>
    <w:rsid w:val="00D965FD"/>
    <w:rsid w:val="00D96DFE"/>
    <w:rsid w:val="00D96EEF"/>
    <w:rsid w:val="00D97993"/>
    <w:rsid w:val="00DA2F9C"/>
    <w:rsid w:val="00DB0143"/>
    <w:rsid w:val="00DB45CB"/>
    <w:rsid w:val="00DB7966"/>
    <w:rsid w:val="00DC1FAF"/>
    <w:rsid w:val="00DC59D1"/>
    <w:rsid w:val="00DC7D0F"/>
    <w:rsid w:val="00DD2B2D"/>
    <w:rsid w:val="00DD6641"/>
    <w:rsid w:val="00DE168E"/>
    <w:rsid w:val="00DF172F"/>
    <w:rsid w:val="00DF17BF"/>
    <w:rsid w:val="00DF2140"/>
    <w:rsid w:val="00DF36B4"/>
    <w:rsid w:val="00DF49FE"/>
    <w:rsid w:val="00DF56B6"/>
    <w:rsid w:val="00DF65DE"/>
    <w:rsid w:val="00E02368"/>
    <w:rsid w:val="00E05FFD"/>
    <w:rsid w:val="00E119C1"/>
    <w:rsid w:val="00E12A76"/>
    <w:rsid w:val="00E12DAF"/>
    <w:rsid w:val="00E15E99"/>
    <w:rsid w:val="00E1687C"/>
    <w:rsid w:val="00E17BCE"/>
    <w:rsid w:val="00E213C4"/>
    <w:rsid w:val="00E25C96"/>
    <w:rsid w:val="00E26C9C"/>
    <w:rsid w:val="00E3158C"/>
    <w:rsid w:val="00E32038"/>
    <w:rsid w:val="00E33CF9"/>
    <w:rsid w:val="00E35052"/>
    <w:rsid w:val="00E35309"/>
    <w:rsid w:val="00E356FE"/>
    <w:rsid w:val="00E41196"/>
    <w:rsid w:val="00E424D2"/>
    <w:rsid w:val="00E43455"/>
    <w:rsid w:val="00E43819"/>
    <w:rsid w:val="00E43EF1"/>
    <w:rsid w:val="00E4554E"/>
    <w:rsid w:val="00E45C23"/>
    <w:rsid w:val="00E51795"/>
    <w:rsid w:val="00E5277A"/>
    <w:rsid w:val="00E53B52"/>
    <w:rsid w:val="00E632AC"/>
    <w:rsid w:val="00E6491A"/>
    <w:rsid w:val="00E66762"/>
    <w:rsid w:val="00E721A9"/>
    <w:rsid w:val="00E74E1D"/>
    <w:rsid w:val="00E75D00"/>
    <w:rsid w:val="00E75F3B"/>
    <w:rsid w:val="00E76648"/>
    <w:rsid w:val="00E77E5A"/>
    <w:rsid w:val="00E83193"/>
    <w:rsid w:val="00E86C0D"/>
    <w:rsid w:val="00E87D96"/>
    <w:rsid w:val="00E90168"/>
    <w:rsid w:val="00E90A8F"/>
    <w:rsid w:val="00E90B4B"/>
    <w:rsid w:val="00E91452"/>
    <w:rsid w:val="00E93F89"/>
    <w:rsid w:val="00EA2030"/>
    <w:rsid w:val="00EA5D2D"/>
    <w:rsid w:val="00EB0BA5"/>
    <w:rsid w:val="00EB151B"/>
    <w:rsid w:val="00EB3128"/>
    <w:rsid w:val="00EB7F44"/>
    <w:rsid w:val="00EC189B"/>
    <w:rsid w:val="00EC2CC3"/>
    <w:rsid w:val="00EC3F6B"/>
    <w:rsid w:val="00EC5C8C"/>
    <w:rsid w:val="00EC7BD8"/>
    <w:rsid w:val="00EC7F67"/>
    <w:rsid w:val="00ED04DC"/>
    <w:rsid w:val="00ED0A07"/>
    <w:rsid w:val="00ED0B50"/>
    <w:rsid w:val="00ED1033"/>
    <w:rsid w:val="00ED3993"/>
    <w:rsid w:val="00ED4B30"/>
    <w:rsid w:val="00ED4E28"/>
    <w:rsid w:val="00ED5206"/>
    <w:rsid w:val="00ED72C1"/>
    <w:rsid w:val="00ED788C"/>
    <w:rsid w:val="00EE1CF4"/>
    <w:rsid w:val="00EE46FF"/>
    <w:rsid w:val="00EE4709"/>
    <w:rsid w:val="00EE6643"/>
    <w:rsid w:val="00EE71F1"/>
    <w:rsid w:val="00EF051A"/>
    <w:rsid w:val="00EF1336"/>
    <w:rsid w:val="00EF1E4E"/>
    <w:rsid w:val="00EF5356"/>
    <w:rsid w:val="00EF5447"/>
    <w:rsid w:val="00EF77D8"/>
    <w:rsid w:val="00F02D75"/>
    <w:rsid w:val="00F06E6E"/>
    <w:rsid w:val="00F11CFC"/>
    <w:rsid w:val="00F21756"/>
    <w:rsid w:val="00F218C8"/>
    <w:rsid w:val="00F22CEC"/>
    <w:rsid w:val="00F2489D"/>
    <w:rsid w:val="00F2502E"/>
    <w:rsid w:val="00F2743A"/>
    <w:rsid w:val="00F309E2"/>
    <w:rsid w:val="00F30EB0"/>
    <w:rsid w:val="00F35BA4"/>
    <w:rsid w:val="00F374DD"/>
    <w:rsid w:val="00F419EF"/>
    <w:rsid w:val="00F448F1"/>
    <w:rsid w:val="00F451D8"/>
    <w:rsid w:val="00F45366"/>
    <w:rsid w:val="00F479DE"/>
    <w:rsid w:val="00F50781"/>
    <w:rsid w:val="00F5116C"/>
    <w:rsid w:val="00F51EC5"/>
    <w:rsid w:val="00F53B86"/>
    <w:rsid w:val="00F54E71"/>
    <w:rsid w:val="00F556DC"/>
    <w:rsid w:val="00F56B6C"/>
    <w:rsid w:val="00F572C7"/>
    <w:rsid w:val="00F62237"/>
    <w:rsid w:val="00F62DC5"/>
    <w:rsid w:val="00F639C8"/>
    <w:rsid w:val="00F65DD1"/>
    <w:rsid w:val="00F70DB5"/>
    <w:rsid w:val="00F710F9"/>
    <w:rsid w:val="00F74621"/>
    <w:rsid w:val="00F817DE"/>
    <w:rsid w:val="00F90B52"/>
    <w:rsid w:val="00F91E50"/>
    <w:rsid w:val="00F91F7C"/>
    <w:rsid w:val="00F9337E"/>
    <w:rsid w:val="00F93958"/>
    <w:rsid w:val="00F94A95"/>
    <w:rsid w:val="00F97224"/>
    <w:rsid w:val="00FA1152"/>
    <w:rsid w:val="00FA186C"/>
    <w:rsid w:val="00FA1CDC"/>
    <w:rsid w:val="00FA1E7F"/>
    <w:rsid w:val="00FA2D02"/>
    <w:rsid w:val="00FA4D0F"/>
    <w:rsid w:val="00FA7965"/>
    <w:rsid w:val="00FB1155"/>
    <w:rsid w:val="00FB3B21"/>
    <w:rsid w:val="00FC4A99"/>
    <w:rsid w:val="00FC5334"/>
    <w:rsid w:val="00FC5379"/>
    <w:rsid w:val="00FC5574"/>
    <w:rsid w:val="00FC6EA1"/>
    <w:rsid w:val="00FD44FC"/>
    <w:rsid w:val="00FD5695"/>
    <w:rsid w:val="00FD7030"/>
    <w:rsid w:val="00FD7B44"/>
    <w:rsid w:val="00FE0E6E"/>
    <w:rsid w:val="00FE3160"/>
    <w:rsid w:val="00FE5536"/>
    <w:rsid w:val="00FE76EC"/>
    <w:rsid w:val="00FF0F47"/>
    <w:rsid w:val="00FF11D7"/>
    <w:rsid w:val="00FF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F9328"/>
  <w15:docId w15:val="{E2BAEBAB-C634-4EAA-A062-034D8B62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6B46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E0B38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qFormat/>
    <w:rsid w:val="00BE0B38"/>
    <w:pPr>
      <w:keepNext/>
      <w:numPr>
        <w:ilvl w:val="1"/>
        <w:numId w:val="1"/>
      </w:numPr>
      <w:spacing w:before="120" w:after="60"/>
      <w:outlineLvl w:val="1"/>
    </w:pPr>
    <w:rPr>
      <w:i/>
      <w:iCs/>
      <w:sz w:val="20"/>
      <w:szCs w:val="20"/>
      <w:lang w:val="x-none" w:eastAsia="x-none"/>
    </w:rPr>
  </w:style>
  <w:style w:type="paragraph" w:styleId="Heading3">
    <w:name w:val="heading 3"/>
    <w:basedOn w:val="Normal"/>
    <w:next w:val="Normal"/>
    <w:qFormat/>
    <w:rsid w:val="00BE0B38"/>
    <w:pPr>
      <w:keepNext/>
      <w:numPr>
        <w:ilvl w:val="2"/>
        <w:numId w:val="1"/>
      </w:numPr>
      <w:outlineLvl w:val="2"/>
    </w:pPr>
    <w:rPr>
      <w:i/>
      <w:iCs/>
      <w:sz w:val="20"/>
      <w:szCs w:val="20"/>
    </w:rPr>
  </w:style>
  <w:style w:type="paragraph" w:styleId="Heading4">
    <w:name w:val="heading 4"/>
    <w:basedOn w:val="Normal"/>
    <w:next w:val="Normal"/>
    <w:qFormat/>
    <w:rsid w:val="00BE0B38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rsid w:val="00BE0B38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rsid w:val="00BE0B38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rsid w:val="00BE0B38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rsid w:val="00BE0B38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rsid w:val="00BE0B38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5D2D"/>
    <w:rPr>
      <w:color w:val="0000FF"/>
      <w:u w:val="single"/>
    </w:rPr>
  </w:style>
  <w:style w:type="paragraph" w:customStyle="1" w:styleId="DOP">
    <w:name w:val="DOP"/>
    <w:basedOn w:val="Normal"/>
    <w:rsid w:val="00015E73"/>
    <w:pPr>
      <w:spacing w:after="120"/>
    </w:pPr>
    <w:rPr>
      <w:rFonts w:ascii="Helvetica" w:hAnsi="Helvetica"/>
      <w:sz w:val="14"/>
      <w:szCs w:val="14"/>
    </w:rPr>
  </w:style>
  <w:style w:type="paragraph" w:customStyle="1" w:styleId="DOI">
    <w:name w:val="DOI"/>
    <w:basedOn w:val="Normal"/>
    <w:rsid w:val="00EC3F6B"/>
    <w:rPr>
      <w:i/>
      <w:sz w:val="12"/>
      <w:szCs w:val="12"/>
    </w:rPr>
  </w:style>
  <w:style w:type="paragraph" w:customStyle="1" w:styleId="Abstract">
    <w:name w:val="Abstract"/>
    <w:basedOn w:val="Normal"/>
    <w:link w:val="AbstractChar"/>
    <w:rsid w:val="00D26E50"/>
    <w:pPr>
      <w:spacing w:after="340" w:line="240" w:lineRule="exact"/>
      <w:ind w:right="1380"/>
      <w:jc w:val="both"/>
    </w:pPr>
    <w:rPr>
      <w:sz w:val="20"/>
      <w:szCs w:val="20"/>
    </w:rPr>
  </w:style>
  <w:style w:type="paragraph" w:customStyle="1" w:styleId="H5">
    <w:name w:val="H5"/>
    <w:basedOn w:val="Abstract"/>
    <w:link w:val="H5CharChar"/>
    <w:rsid w:val="00EC3F6B"/>
    <w:rPr>
      <w:rFonts w:ascii="Helvetica" w:hAnsi="Helvetica"/>
      <w:b/>
      <w:color w:val="00629B"/>
    </w:rPr>
  </w:style>
  <w:style w:type="character" w:customStyle="1" w:styleId="AbstractChar">
    <w:name w:val="Abstract Char"/>
    <w:link w:val="Abstract"/>
    <w:rsid w:val="00D26E50"/>
    <w:rPr>
      <w:lang w:val="en-US" w:eastAsia="en-US" w:bidi="ar-SA"/>
    </w:rPr>
  </w:style>
  <w:style w:type="character" w:customStyle="1" w:styleId="H5CharChar">
    <w:name w:val="H5 Char Char"/>
    <w:link w:val="H5"/>
    <w:rsid w:val="00EC3F6B"/>
    <w:rPr>
      <w:rFonts w:ascii="Helvetica" w:hAnsi="Helvetica"/>
      <w:b/>
      <w:color w:val="00629B"/>
      <w:lang w:val="en-US" w:eastAsia="en-US" w:bidi="ar-SA"/>
    </w:rPr>
  </w:style>
  <w:style w:type="paragraph" w:customStyle="1" w:styleId="IT">
    <w:name w:val="IT"/>
    <w:basedOn w:val="Normal"/>
    <w:rsid w:val="003B3FFE"/>
    <w:pPr>
      <w:autoSpaceDE w:val="0"/>
      <w:autoSpaceDN w:val="0"/>
      <w:adjustRightInd w:val="0"/>
      <w:spacing w:after="520"/>
      <w:ind w:right="1380"/>
    </w:pPr>
    <w:rPr>
      <w:rFonts w:cs="TimesLTStd-Roman"/>
      <w:sz w:val="20"/>
      <w:szCs w:val="20"/>
    </w:rPr>
  </w:style>
  <w:style w:type="paragraph" w:customStyle="1" w:styleId="PARA">
    <w:name w:val="PARA"/>
    <w:basedOn w:val="Normal"/>
    <w:rsid w:val="00EC3F6B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9F494B"/>
    <w:pPr>
      <w:ind w:firstLine="200"/>
    </w:pPr>
  </w:style>
  <w:style w:type="character" w:customStyle="1" w:styleId="ITAL">
    <w:name w:val="ITAL"/>
    <w:rsid w:val="009F494B"/>
    <w:rPr>
      <w:i/>
    </w:rPr>
  </w:style>
  <w:style w:type="paragraph" w:customStyle="1" w:styleId="AU">
    <w:name w:val="AU"/>
    <w:basedOn w:val="Normal"/>
    <w:rsid w:val="00084BD2"/>
    <w:pPr>
      <w:spacing w:after="100"/>
      <w:ind w:right="1380"/>
    </w:pPr>
    <w:rPr>
      <w:rFonts w:ascii="Helvetica" w:hAnsi="Helvetica"/>
      <w:b/>
      <w:sz w:val="20"/>
      <w:szCs w:val="20"/>
    </w:rPr>
  </w:style>
  <w:style w:type="paragraph" w:customStyle="1" w:styleId="Aff">
    <w:name w:val="Aff"/>
    <w:basedOn w:val="Normal"/>
    <w:rsid w:val="003B3FFE"/>
    <w:pPr>
      <w:spacing w:after="40" w:line="140" w:lineRule="exact"/>
      <w:ind w:right="1380"/>
    </w:pPr>
    <w:rPr>
      <w:sz w:val="14"/>
    </w:rPr>
  </w:style>
  <w:style w:type="paragraph" w:customStyle="1" w:styleId="CA">
    <w:name w:val="CA"/>
    <w:basedOn w:val="Normal"/>
    <w:rsid w:val="00EC3F6B"/>
    <w:pPr>
      <w:spacing w:before="100" w:after="100"/>
      <w:ind w:right="1380"/>
    </w:pPr>
    <w:rPr>
      <w:sz w:val="15"/>
    </w:rPr>
  </w:style>
  <w:style w:type="paragraph" w:customStyle="1" w:styleId="PI">
    <w:name w:val="PI"/>
    <w:basedOn w:val="Normal"/>
    <w:rsid w:val="00084BD2"/>
    <w:pPr>
      <w:spacing w:after="540" w:line="180" w:lineRule="exact"/>
      <w:ind w:right="1600" w:firstLine="180"/>
    </w:pPr>
    <w:rPr>
      <w:sz w:val="15"/>
    </w:rPr>
  </w:style>
  <w:style w:type="paragraph" w:customStyle="1" w:styleId="PaperTitle">
    <w:name w:val="Paper Title"/>
    <w:basedOn w:val="Normal"/>
    <w:rsid w:val="00105925"/>
    <w:pPr>
      <w:spacing w:before="480" w:after="300"/>
    </w:pPr>
    <w:rPr>
      <w:rFonts w:ascii="Helvetica" w:hAnsi="Helvetica"/>
      <w:b/>
      <w:color w:val="00629B"/>
      <w:sz w:val="44"/>
      <w:szCs w:val="44"/>
    </w:rPr>
  </w:style>
  <w:style w:type="paragraph" w:customStyle="1" w:styleId="H1">
    <w:name w:val="H1"/>
    <w:basedOn w:val="Normal"/>
    <w:rsid w:val="00105925"/>
    <w:pPr>
      <w:autoSpaceDE w:val="0"/>
      <w:autoSpaceDN w:val="0"/>
      <w:adjustRightInd w:val="0"/>
      <w:spacing w:before="240"/>
    </w:pPr>
    <w:rPr>
      <w:rFonts w:ascii="Helvetica" w:hAnsi="Helvetica" w:cs="FormataOTF-Bold"/>
      <w:b/>
      <w:bCs/>
      <w:color w:val="00629B"/>
      <w:sz w:val="18"/>
      <w:szCs w:val="18"/>
    </w:rPr>
  </w:style>
  <w:style w:type="numbering" w:customStyle="1" w:styleId="H2Restart">
    <w:name w:val="H2_Restart"/>
    <w:rsid w:val="00ED4E28"/>
    <w:pPr>
      <w:numPr>
        <w:numId w:val="13"/>
      </w:numPr>
    </w:pPr>
  </w:style>
  <w:style w:type="paragraph" w:customStyle="1" w:styleId="Equation">
    <w:name w:val="Equation"/>
    <w:basedOn w:val="Normal"/>
    <w:rsid w:val="00680E60"/>
    <w:pPr>
      <w:tabs>
        <w:tab w:val="left" w:pos="4584"/>
      </w:tabs>
      <w:autoSpaceDE w:val="0"/>
      <w:autoSpaceDN w:val="0"/>
      <w:adjustRightInd w:val="0"/>
      <w:spacing w:before="120" w:after="120"/>
      <w:ind w:left="1600"/>
    </w:pPr>
    <w:rPr>
      <w:rFonts w:cs="MTSYN"/>
      <w:i/>
      <w:sz w:val="20"/>
      <w:szCs w:val="20"/>
    </w:rPr>
  </w:style>
  <w:style w:type="paragraph" w:customStyle="1" w:styleId="FigCaption">
    <w:name w:val="Fig Caption"/>
    <w:basedOn w:val="Normal"/>
    <w:rsid w:val="00443AB2"/>
    <w:pPr>
      <w:numPr>
        <w:numId w:val="5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character" w:customStyle="1" w:styleId="CaptionColor">
    <w:name w:val="Caption Color"/>
    <w:rsid w:val="00B06847"/>
    <w:rPr>
      <w:rFonts w:ascii="Helvetica" w:hAnsi="Helvetica" w:cs="FormataOTF-Bold"/>
      <w:bCs/>
      <w:color w:val="00629B"/>
      <w:sz w:val="14"/>
      <w:szCs w:val="14"/>
    </w:rPr>
  </w:style>
  <w:style w:type="paragraph" w:customStyle="1" w:styleId="H3">
    <w:name w:val="H3"/>
    <w:basedOn w:val="Normal"/>
    <w:rsid w:val="006817D9"/>
    <w:pPr>
      <w:numPr>
        <w:numId w:val="6"/>
      </w:numPr>
      <w:tabs>
        <w:tab w:val="clear" w:pos="320"/>
        <w:tab w:val="left" w:pos="240"/>
      </w:tabs>
      <w:autoSpaceDE w:val="0"/>
      <w:autoSpaceDN w:val="0"/>
      <w:adjustRightInd w:val="0"/>
      <w:spacing w:before="80"/>
    </w:pPr>
    <w:rPr>
      <w:rFonts w:ascii="Helvetica" w:hAnsi="Helvetica" w:cs="FormataOTF-Reg"/>
      <w:caps/>
      <w:color w:val="58595B"/>
      <w:sz w:val="18"/>
      <w:szCs w:val="18"/>
    </w:rPr>
  </w:style>
  <w:style w:type="paragraph" w:customStyle="1" w:styleId="TableCaption">
    <w:name w:val="Table Caption"/>
    <w:basedOn w:val="Normal"/>
    <w:rsid w:val="00231E14"/>
    <w:pPr>
      <w:autoSpaceDE w:val="0"/>
      <w:autoSpaceDN w:val="0"/>
      <w:adjustRightInd w:val="0"/>
      <w:spacing w:before="320" w:after="220"/>
    </w:pPr>
    <w:rPr>
      <w:rFonts w:ascii="Helvetica" w:hAnsi="Helvetica" w:cs="FormataOTFMd"/>
      <w:b/>
      <w:sz w:val="14"/>
      <w:szCs w:val="14"/>
    </w:rPr>
  </w:style>
  <w:style w:type="paragraph" w:customStyle="1" w:styleId="H4">
    <w:name w:val="H4"/>
    <w:basedOn w:val="Normal"/>
    <w:rsid w:val="00105925"/>
    <w:pPr>
      <w:autoSpaceDE w:val="0"/>
      <w:autoSpaceDN w:val="0"/>
      <w:adjustRightInd w:val="0"/>
      <w:spacing w:before="480"/>
    </w:pPr>
    <w:rPr>
      <w:rFonts w:ascii="Helvetica" w:hAnsi="Helvetica" w:cs="FormataOTF-Italic"/>
      <w:i/>
      <w:iCs/>
      <w:color w:val="58595B"/>
      <w:sz w:val="18"/>
      <w:szCs w:val="18"/>
    </w:rPr>
  </w:style>
  <w:style w:type="paragraph" w:customStyle="1" w:styleId="H1ListNoSpace">
    <w:name w:val="H1_List (No Space)"/>
    <w:basedOn w:val="H1"/>
    <w:qFormat/>
    <w:rsid w:val="00F448F1"/>
    <w:pPr>
      <w:numPr>
        <w:numId w:val="4"/>
      </w:numPr>
      <w:spacing w:before="0"/>
    </w:pPr>
  </w:style>
  <w:style w:type="paragraph" w:customStyle="1" w:styleId="Ref1">
    <w:name w:val="Ref_1"/>
    <w:basedOn w:val="Normal"/>
    <w:rsid w:val="00105925"/>
    <w:pPr>
      <w:autoSpaceDE w:val="0"/>
      <w:autoSpaceDN w:val="0"/>
      <w:adjustRightInd w:val="0"/>
      <w:spacing w:before="40"/>
      <w:ind w:left="300" w:hanging="260"/>
      <w:jc w:val="both"/>
    </w:pPr>
    <w:rPr>
      <w:rFonts w:cs="TimesLTStd-Roman"/>
      <w:sz w:val="15"/>
      <w:szCs w:val="15"/>
    </w:rPr>
  </w:style>
  <w:style w:type="paragraph" w:customStyle="1" w:styleId="Ref">
    <w:name w:val="Ref"/>
    <w:basedOn w:val="Ref1"/>
    <w:rsid w:val="007573E5"/>
    <w:pPr>
      <w:spacing w:before="0"/>
    </w:pPr>
  </w:style>
  <w:style w:type="paragraph" w:customStyle="1" w:styleId="AUBios">
    <w:name w:val="AU_Bios"/>
    <w:basedOn w:val="Normal"/>
    <w:rsid w:val="00323E56"/>
    <w:pPr>
      <w:autoSpaceDE w:val="0"/>
      <w:autoSpaceDN w:val="0"/>
      <w:adjustRightInd w:val="0"/>
      <w:spacing w:before="1340"/>
      <w:jc w:val="both"/>
    </w:pPr>
    <w:rPr>
      <w:rFonts w:cs="TimesLTStd-Roman"/>
      <w:sz w:val="16"/>
      <w:szCs w:val="16"/>
    </w:rPr>
  </w:style>
  <w:style w:type="character" w:customStyle="1" w:styleId="AUBiosbd">
    <w:name w:val="AU_Bios bd"/>
    <w:rsid w:val="00382E5B"/>
    <w:rPr>
      <w:rFonts w:ascii="Helvetica" w:hAnsi="Helvetica" w:cs="FormataOTFMd"/>
      <w:b/>
    </w:rPr>
  </w:style>
  <w:style w:type="paragraph" w:styleId="Header">
    <w:name w:val="header"/>
    <w:basedOn w:val="Normal"/>
    <w:rsid w:val="00E721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1A9"/>
    <w:pPr>
      <w:tabs>
        <w:tab w:val="center" w:pos="4320"/>
        <w:tab w:val="right" w:pos="8640"/>
      </w:tabs>
    </w:pPr>
  </w:style>
  <w:style w:type="character" w:customStyle="1" w:styleId="SuperScript">
    <w:name w:val="Super Script"/>
    <w:rsid w:val="00947BF1"/>
    <w:rPr>
      <w:vertAlign w:val="superscript"/>
    </w:rPr>
  </w:style>
  <w:style w:type="paragraph" w:customStyle="1" w:styleId="PINoSpace">
    <w:name w:val="PI_No Space"/>
    <w:basedOn w:val="PI"/>
    <w:rsid w:val="00084BD2"/>
    <w:pPr>
      <w:spacing w:after="0"/>
    </w:pPr>
  </w:style>
  <w:style w:type="paragraph" w:customStyle="1" w:styleId="Text">
    <w:name w:val="Text"/>
    <w:basedOn w:val="Normal"/>
    <w:rsid w:val="00486E60"/>
    <w:pPr>
      <w:widowControl w:val="0"/>
      <w:spacing w:line="252" w:lineRule="auto"/>
      <w:ind w:firstLine="202"/>
      <w:jc w:val="both"/>
    </w:pPr>
    <w:rPr>
      <w:sz w:val="20"/>
      <w:szCs w:val="20"/>
    </w:rPr>
  </w:style>
  <w:style w:type="paragraph" w:customStyle="1" w:styleId="H3Space">
    <w:name w:val="H3_Space"/>
    <w:basedOn w:val="H3"/>
    <w:rsid w:val="00A21E81"/>
    <w:pPr>
      <w:spacing w:before="260"/>
    </w:pPr>
  </w:style>
  <w:style w:type="character" w:customStyle="1" w:styleId="BodyText2">
    <w:name w:val="Body Text2"/>
    <w:rsid w:val="00ED72C1"/>
    <w:rPr>
      <w:rFonts w:ascii="Verdana" w:hAnsi="Verdana" w:cs="Verdana"/>
      <w:color w:val="000000"/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856CFF"/>
    <w:pPr>
      <w:ind w:firstLine="202"/>
      <w:jc w:val="both"/>
    </w:pPr>
    <w:rPr>
      <w:sz w:val="16"/>
      <w:szCs w:val="16"/>
      <w:lang w:val="x-none" w:eastAsia="x-none"/>
    </w:rPr>
  </w:style>
  <w:style w:type="paragraph" w:customStyle="1" w:styleId="TableTitle">
    <w:name w:val="Table Title"/>
    <w:basedOn w:val="Normal"/>
    <w:rsid w:val="00856CFF"/>
    <w:pPr>
      <w:jc w:val="center"/>
    </w:pPr>
    <w:rPr>
      <w:smallCaps/>
      <w:sz w:val="16"/>
      <w:szCs w:val="16"/>
    </w:rPr>
  </w:style>
  <w:style w:type="character" w:customStyle="1" w:styleId="FootnoteTextChar">
    <w:name w:val="Footnote Text Char"/>
    <w:link w:val="FootnoteText"/>
    <w:semiHidden/>
    <w:rsid w:val="00856CFF"/>
    <w:rPr>
      <w:sz w:val="16"/>
      <w:szCs w:val="16"/>
      <w:lang w:val="x-none" w:eastAsia="x-none" w:bidi="ar-SA"/>
    </w:rPr>
  </w:style>
  <w:style w:type="paragraph" w:customStyle="1" w:styleId="H2AfterH1">
    <w:name w:val="H2_After H1"/>
    <w:rsid w:val="00A06892"/>
    <w:pPr>
      <w:numPr>
        <w:numId w:val="37"/>
      </w:numPr>
      <w:spacing w:before="120"/>
    </w:pPr>
    <w:rPr>
      <w:rFonts w:ascii="Helvetica" w:hAnsi="Helvetica" w:cs="FormataOTFMdIt"/>
      <w:b/>
      <w:i/>
      <w:caps/>
      <w:color w:val="58595B"/>
      <w:sz w:val="18"/>
      <w:szCs w:val="18"/>
      <w:lang w:val="en-US" w:eastAsia="en-US"/>
    </w:rPr>
  </w:style>
  <w:style w:type="character" w:customStyle="1" w:styleId="bodytype">
    <w:name w:val="body type"/>
    <w:rsid w:val="00457310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Normal"/>
    <w:link w:val="Style1Char"/>
    <w:qFormat/>
    <w:rsid w:val="00457310"/>
    <w:pPr>
      <w:keepNext/>
      <w:spacing w:before="240" w:after="80"/>
      <w:jc w:val="center"/>
      <w:outlineLvl w:val="0"/>
    </w:pPr>
    <w:rPr>
      <w:smallCaps/>
      <w:kern w:val="28"/>
      <w:sz w:val="20"/>
      <w:szCs w:val="20"/>
      <w:lang w:val="x-none" w:eastAsia="x-none"/>
    </w:rPr>
  </w:style>
  <w:style w:type="character" w:customStyle="1" w:styleId="Style1Char">
    <w:name w:val="Style1 Char"/>
    <w:link w:val="Style1"/>
    <w:rsid w:val="00457310"/>
    <w:rPr>
      <w:smallCaps/>
      <w:kern w:val="28"/>
      <w:lang w:val="x-none" w:eastAsia="x-none" w:bidi="ar-SA"/>
    </w:rPr>
  </w:style>
  <w:style w:type="character" w:styleId="FootnoteReference">
    <w:name w:val="footnote reference"/>
    <w:semiHidden/>
    <w:rsid w:val="001C597C"/>
    <w:rPr>
      <w:vertAlign w:val="superscript"/>
    </w:rPr>
  </w:style>
  <w:style w:type="paragraph" w:customStyle="1" w:styleId="References">
    <w:name w:val="References"/>
    <w:basedOn w:val="Normal"/>
    <w:rsid w:val="0014141F"/>
    <w:pPr>
      <w:numPr>
        <w:numId w:val="3"/>
      </w:numPr>
      <w:ind w:left="360"/>
      <w:jc w:val="both"/>
    </w:pPr>
    <w:rPr>
      <w:sz w:val="16"/>
      <w:szCs w:val="16"/>
    </w:rPr>
  </w:style>
  <w:style w:type="paragraph" w:customStyle="1" w:styleId="AUBiosNoSpace">
    <w:name w:val="AU_Bios_No Space"/>
    <w:basedOn w:val="AUBios"/>
    <w:rsid w:val="006A0B53"/>
    <w:pPr>
      <w:spacing w:before="0"/>
      <w:ind w:firstLine="180"/>
    </w:pPr>
  </w:style>
  <w:style w:type="paragraph" w:customStyle="1" w:styleId="FigureCaption">
    <w:name w:val="Figure Caption"/>
    <w:basedOn w:val="Normal"/>
    <w:rsid w:val="0003253A"/>
    <w:pPr>
      <w:jc w:val="both"/>
    </w:pPr>
    <w:rPr>
      <w:sz w:val="16"/>
      <w:szCs w:val="16"/>
    </w:rPr>
  </w:style>
  <w:style w:type="paragraph" w:customStyle="1" w:styleId="H1ListSpace">
    <w:name w:val="H1_List (Space)"/>
    <w:basedOn w:val="H1ListNoSpace"/>
    <w:rsid w:val="009A7E35"/>
    <w:pPr>
      <w:spacing w:before="240"/>
      <w:ind w:left="280" w:hanging="280"/>
    </w:pPr>
    <w:rPr>
      <w:rFonts w:cs="Times New Roman"/>
      <w:szCs w:val="20"/>
    </w:rPr>
  </w:style>
  <w:style w:type="paragraph" w:customStyle="1" w:styleId="H2First">
    <w:name w:val="H2_First"/>
    <w:basedOn w:val="Normal"/>
    <w:qFormat/>
    <w:rsid w:val="006D5343"/>
    <w:pPr>
      <w:numPr>
        <w:numId w:val="18"/>
      </w:numPr>
      <w:autoSpaceDE w:val="0"/>
      <w:autoSpaceDN w:val="0"/>
      <w:adjustRightInd w:val="0"/>
      <w:spacing w:before="260"/>
      <w:ind w:left="0" w:firstLine="0"/>
    </w:pPr>
    <w:rPr>
      <w:rFonts w:ascii="Helvetica" w:hAnsi="Helvetica" w:cs="FormataOTFMdIt"/>
      <w:b/>
      <w:i/>
      <w:color w:val="58595B"/>
      <w:sz w:val="18"/>
      <w:szCs w:val="18"/>
    </w:rPr>
  </w:style>
  <w:style w:type="paragraph" w:customStyle="1" w:styleId="H2ConSpaceBefore12pt">
    <w:name w:val="H2_Con Space(Before: 12 pt)"/>
    <w:basedOn w:val="H2AfterH1"/>
    <w:rsid w:val="00440B9E"/>
    <w:pPr>
      <w:numPr>
        <w:numId w:val="15"/>
      </w:numPr>
      <w:spacing w:before="260"/>
    </w:pPr>
    <w:rPr>
      <w:rFonts w:cs="Times New Roman"/>
      <w:bCs/>
      <w:iCs/>
      <w:szCs w:val="20"/>
    </w:rPr>
  </w:style>
  <w:style w:type="paragraph" w:customStyle="1" w:styleId="H2ConNoSpace">
    <w:name w:val="H2_Con NoSpace"/>
    <w:rsid w:val="0033583E"/>
    <w:pPr>
      <w:numPr>
        <w:numId w:val="9"/>
      </w:numPr>
    </w:pPr>
    <w:rPr>
      <w:rFonts w:ascii="Helvetica" w:hAnsi="Helvetica"/>
      <w:b/>
      <w:bCs/>
      <w:i/>
      <w:iCs/>
      <w:color w:val="58595B"/>
      <w:sz w:val="18"/>
      <w:lang w:val="en-US" w:eastAsia="en-US"/>
    </w:rPr>
  </w:style>
  <w:style w:type="paragraph" w:customStyle="1" w:styleId="StyleH2ConNoSpace">
    <w:name w:val="Style H2_Con NoSpace"/>
    <w:basedOn w:val="H2ConSpaceBefore12pt"/>
    <w:rsid w:val="00BC57BB"/>
    <w:pPr>
      <w:spacing w:before="0"/>
    </w:pPr>
  </w:style>
  <w:style w:type="numbering" w:customStyle="1" w:styleId="H2afterH1New">
    <w:name w:val="H2 after H1_New"/>
    <w:rsid w:val="0033583E"/>
    <w:pPr>
      <w:numPr>
        <w:numId w:val="10"/>
      </w:numPr>
    </w:pPr>
  </w:style>
  <w:style w:type="paragraph" w:customStyle="1" w:styleId="H2Cont">
    <w:name w:val="H2_Cont"/>
    <w:rsid w:val="007C4B89"/>
    <w:pPr>
      <w:numPr>
        <w:numId w:val="40"/>
      </w:numPr>
      <w:spacing w:before="260"/>
    </w:pPr>
    <w:rPr>
      <w:rFonts w:ascii="Helvetica" w:hAnsi="Helvetica"/>
      <w:b/>
      <w:bCs/>
      <w:i/>
      <w:iCs/>
      <w:color w:val="58595B"/>
      <w:sz w:val="18"/>
      <w:lang w:val="en-US" w:eastAsia="en-US"/>
    </w:rPr>
  </w:style>
  <w:style w:type="paragraph" w:customStyle="1" w:styleId="H2ContNoSpace">
    <w:name w:val="H2_Cont (No Space)"/>
    <w:basedOn w:val="H2AfterH1"/>
    <w:rsid w:val="00332A2D"/>
    <w:pPr>
      <w:spacing w:before="0"/>
    </w:pPr>
    <w:rPr>
      <w:rFonts w:cs="Times New Roman"/>
      <w:bCs/>
      <w:iCs/>
      <w:szCs w:val="20"/>
    </w:rPr>
  </w:style>
  <w:style w:type="paragraph" w:styleId="BalloonText">
    <w:name w:val="Balloon Text"/>
    <w:basedOn w:val="Normal"/>
    <w:link w:val="BalloonTextChar"/>
    <w:rsid w:val="00B43D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3D5E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6621C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621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621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621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21CC"/>
    <w:rPr>
      <w:b/>
      <w:bCs/>
      <w:lang w:val="en-US" w:eastAsia="en-US"/>
    </w:rPr>
  </w:style>
  <w:style w:type="paragraph" w:customStyle="1" w:styleId="REFBUL">
    <w:name w:val="REF_BUL"/>
    <w:basedOn w:val="PARA"/>
    <w:qFormat/>
    <w:rsid w:val="001C495F"/>
    <w:pPr>
      <w:numPr>
        <w:numId w:val="42"/>
      </w:numPr>
      <w:ind w:left="480" w:hanging="240"/>
    </w:pPr>
    <w:rPr>
      <w:i/>
    </w:rPr>
  </w:style>
  <w:style w:type="paragraph" w:customStyle="1" w:styleId="REFTxt">
    <w:name w:val="REF_Txt"/>
    <w:basedOn w:val="Normal"/>
    <w:qFormat/>
    <w:rsid w:val="001C495F"/>
    <w:pPr>
      <w:ind w:left="480"/>
      <w:jc w:val="both"/>
    </w:pPr>
    <w:rPr>
      <w:sz w:val="20"/>
      <w:szCs w:val="16"/>
    </w:rPr>
  </w:style>
  <w:style w:type="paragraph" w:customStyle="1" w:styleId="StyleREFTxt8ptItalic">
    <w:name w:val="Style REF_Txt + 8 pt Italic"/>
    <w:basedOn w:val="REFTxt"/>
    <w:rsid w:val="009116B8"/>
    <w:rPr>
      <w:i/>
      <w:iCs/>
    </w:rPr>
  </w:style>
  <w:style w:type="character" w:styleId="Emphasis">
    <w:name w:val="Emphasis"/>
    <w:basedOn w:val="DefaultParagraphFont"/>
    <w:uiPriority w:val="20"/>
    <w:qFormat/>
    <w:rsid w:val="00505C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eee.org/publications/services/thesaurus.html" TargetMode="Externa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oleObject" Target="embeddings/oleObject1.bin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verleaf.com/blog/278-how-to-use-overleaf-with-ieee-collabratec-your-quick-guide-to-getting-started" TargetMode="External"/><Relationship Id="rId24" Type="http://schemas.openxmlformats.org/officeDocument/2006/relationships/image" Target="media/image7.tif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6.tiff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5.tiff"/><Relationship Id="rId27" Type="http://schemas.openxmlformats.org/officeDocument/2006/relationships/theme" Target="theme/theme1.xml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image" Target="media/image13.png"/><Relationship Id="rId3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7A4D4-BF06-4BA0-A3D8-63287419C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5623</Words>
  <Characters>32056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 of publication xxxx 00, 0000, date of current version xxxx 00, 0000</vt:lpstr>
    </vt:vector>
  </TitlesOfParts>
  <Company>Hewlett-Packard Company</Company>
  <LinksUpToDate>false</LinksUpToDate>
  <CharactersWithSpaces>37604</CharactersWithSpaces>
  <SharedDoc>false</SharedDoc>
  <HLinks>
    <vt:vector size="12" baseType="variant">
      <vt:variant>
        <vt:i4>2555906</vt:i4>
      </vt:variant>
      <vt:variant>
        <vt:i4>6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3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of publication xxxx 00, 0000, date of current version xxxx 00, 0000</dc:title>
  <dc:creator>lds2</dc:creator>
  <cp:lastModifiedBy>Eric Charbonneau</cp:lastModifiedBy>
  <cp:revision>4</cp:revision>
  <cp:lastPrinted>2022-11-11T11:49:00Z</cp:lastPrinted>
  <dcterms:created xsi:type="dcterms:W3CDTF">2024-04-29T14:52:00Z</dcterms:created>
  <dcterms:modified xsi:type="dcterms:W3CDTF">2024-04-30T12:36:00Z</dcterms:modified>
</cp:coreProperties>
</file>