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0F172A"/>
          <w:sz w:val="52"/>
        </w:rPr>
        <w:t>DUPLISENSE AI</w:t>
      </w:r>
    </w:p>
    <w:p>
      <w:pPr>
        <w:jc w:val="center"/>
      </w:pPr>
      <w:r>
        <w:rPr>
          <w:rFonts w:ascii="Arial" w:hAnsi="Arial"/>
          <w:color w:val="2563EB"/>
          <w:sz w:val="30"/>
        </w:rPr>
        <w:t>Intelligent Duplicate Project Detection &amp; Component Reuse Recommendation Platform</w:t>
      </w:r>
    </w:p>
    <w:p>
      <w:pPr>
        <w:spacing w:after="400"/>
      </w:pPr>
    </w:p>
    <w:p>
      <w:pPr>
        <w:jc w:val="center"/>
      </w:pPr>
      <w:r>
        <w:rPr>
          <w:b/>
          <w:color w:val="64748B"/>
          <w:sz w:val="24"/>
        </w:rPr>
        <w:t>A COMPREHENSIVE PROJECT REPORT &amp; ALGORITHMIC SPECIFICATION</w:t>
      </w:r>
    </w:p>
    <w:p>
      <w:pPr>
        <w:spacing w:after="300"/>
      </w:pPr>
    </w:p>
    <w:p>
      <w:pPr>
        <w:jc w:val="center"/>
      </w:pPr>
      <w:r>
        <w:rPr>
          <w:color w:val="475569"/>
          <w:sz w:val="23"/>
        </w:rPr>
        <w:t>Submitted in partial fulfillment of the requirements for the award of the degree of</w:t>
        <w:br/>
        <w:t>BACHELOR OF ENGINEERING</w:t>
        <w:br/>
        <w:t>in</w:t>
        <w:br/>
        <w:t>COMPUTER SCIENCE AND ENGINEERING</w:t>
      </w:r>
    </w:p>
    <w:p/>
    <w:p/>
    <w:p/>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01"/>
        <w:gridCol w:w="4501"/>
      </w:tblGrid>
      <w:tr>
        <w:tc>
          <w:tcPr>
            <w:tcW w:type="dxa" w:w="4501"/>
            <w:shd w:fill="F8FAFC" w:val="clear"/>
            <w:tcMar>
              <w:top w:w="80" w:type="dxa"/>
              <w:bottom w:w="80" w:type="dxa"/>
              <w:left w:w="120" w:type="dxa"/>
              <w:right w:w="120" w:type="dxa"/>
            </w:tcMar>
          </w:tcPr>
          <w:p>
            <w:r>
              <w:rPr>
                <w:b/>
                <w:sz w:val="20"/>
              </w:rPr>
              <w:t>Academic Year:</w:t>
            </w:r>
          </w:p>
        </w:tc>
        <w:tc>
          <w:tcPr>
            <w:tcW w:type="dxa" w:w="4501"/>
            <w:shd w:fill="FFFFFF" w:val="clear"/>
            <w:tcMar>
              <w:top w:w="80" w:type="dxa"/>
              <w:bottom w:w="80" w:type="dxa"/>
              <w:left w:w="120" w:type="dxa"/>
              <w:right w:w="120" w:type="dxa"/>
            </w:tcMar>
          </w:tcPr>
          <w:p>
            <w:r>
              <w:rPr>
                <w:sz w:val="20"/>
              </w:rPr>
              <w:t>2025 – 2026</w:t>
            </w:r>
          </w:p>
        </w:tc>
      </w:tr>
      <w:tr>
        <w:tc>
          <w:tcPr>
            <w:tcW w:type="dxa" w:w="4501"/>
            <w:shd w:fill="F8FAFC" w:val="clear"/>
            <w:tcMar>
              <w:top w:w="80" w:type="dxa"/>
              <w:bottom w:w="80" w:type="dxa"/>
              <w:left w:w="120" w:type="dxa"/>
              <w:right w:w="120" w:type="dxa"/>
            </w:tcMar>
          </w:tcPr>
          <w:p>
            <w:r>
              <w:rPr>
                <w:b/>
                <w:sz w:val="20"/>
              </w:rPr>
              <w:t>Domain:</w:t>
            </w:r>
          </w:p>
        </w:tc>
        <w:tc>
          <w:tcPr>
            <w:tcW w:type="dxa" w:w="4501"/>
            <w:shd w:fill="FFFFFF" w:val="clear"/>
            <w:tcMar>
              <w:top w:w="80" w:type="dxa"/>
              <w:bottom w:w="80" w:type="dxa"/>
              <w:left w:w="120" w:type="dxa"/>
              <w:right w:w="120" w:type="dxa"/>
            </w:tcMar>
          </w:tcPr>
          <w:p>
            <w:r>
              <w:rPr>
                <w:sz w:val="20"/>
              </w:rPr>
              <w:t>Artificial Intelligence, Natural Language Processing, Vector Databases &amp; Software Engineering</w:t>
            </w:r>
          </w:p>
        </w:tc>
      </w:tr>
      <w:tr>
        <w:tc>
          <w:tcPr>
            <w:tcW w:type="dxa" w:w="4501"/>
            <w:shd w:fill="F8FAFC" w:val="clear"/>
            <w:tcMar>
              <w:top w:w="80" w:type="dxa"/>
              <w:bottom w:w="80" w:type="dxa"/>
              <w:left w:w="120" w:type="dxa"/>
              <w:right w:w="120" w:type="dxa"/>
            </w:tcMar>
          </w:tcPr>
          <w:p>
            <w:r>
              <w:rPr>
                <w:b/>
                <w:sz w:val="20"/>
              </w:rPr>
              <w:t>Primary Technologies:</w:t>
            </w:r>
          </w:p>
        </w:tc>
        <w:tc>
          <w:tcPr>
            <w:tcW w:type="dxa" w:w="4501"/>
            <w:shd w:fill="FFFFFF" w:val="clear"/>
            <w:tcMar>
              <w:top w:w="80" w:type="dxa"/>
              <w:bottom w:w="80" w:type="dxa"/>
              <w:left w:w="120" w:type="dxa"/>
              <w:right w:w="120" w:type="dxa"/>
            </w:tcMar>
          </w:tcPr>
          <w:p>
            <w:r>
              <w:rPr>
                <w:sz w:val="20"/>
              </w:rPr>
              <w:t>Python 3.11, Django REST Framework, FAISS, React 19, AST, WhiteNoise, Vite</w:t>
            </w:r>
          </w:p>
        </w:tc>
      </w:tr>
      <w:tr>
        <w:tc>
          <w:tcPr>
            <w:tcW w:type="dxa" w:w="4501"/>
            <w:shd w:fill="F8FAFC" w:val="clear"/>
            <w:tcMar>
              <w:top w:w="80" w:type="dxa"/>
              <w:bottom w:w="80" w:type="dxa"/>
              <w:left w:w="120" w:type="dxa"/>
              <w:right w:w="120" w:type="dxa"/>
            </w:tcMar>
          </w:tcPr>
          <w:p>
            <w:r>
              <w:rPr>
                <w:b/>
                <w:sz w:val="20"/>
              </w:rPr>
              <w:t>Cloud Deployments:</w:t>
            </w:r>
          </w:p>
        </w:tc>
        <w:tc>
          <w:tcPr>
            <w:tcW w:type="dxa" w:w="4501"/>
            <w:shd w:fill="FFFFFF" w:val="clear"/>
            <w:tcMar>
              <w:top w:w="80" w:type="dxa"/>
              <w:bottom w:w="80" w:type="dxa"/>
              <w:left w:w="120" w:type="dxa"/>
              <w:right w:w="120" w:type="dxa"/>
            </w:tcMar>
          </w:tcPr>
          <w:p>
            <w:r>
              <w:rPr>
                <w:sz w:val="20"/>
              </w:rPr>
              <w:t>Render (Production Backend) &amp; Vercel (Production Frontend)</w:t>
            </w:r>
          </w:p>
        </w:tc>
      </w:tr>
    </w:tbl>
    <w:p>
      <w:r>
        <w:br w:type="page"/>
      </w:r>
    </w:p>
    <w:p>
      <w:pPr>
        <w:spacing w:before="360" w:after="160"/>
      </w:pPr>
      <w:r>
        <w:rPr>
          <w:rFonts w:ascii="Arial" w:hAnsi="Arial"/>
          <w:b/>
          <w:color w:val="0F172A"/>
          <w:sz w:val="30"/>
        </w:rPr>
        <w:t>ABSTRACT</w:t>
      </w:r>
    </w:p>
    <w:p>
      <w:pPr>
        <w:spacing w:after="120" w:line="300" w:lineRule="auto"/>
      </w:pPr>
      <w:r>
        <w:rPr>
          <w:rFonts w:ascii="Times New Roman" w:hAnsi="Times New Roman"/>
          <w:color w:val="1E293B"/>
          <w:sz w:val="22"/>
        </w:rPr>
        <w:t>In modern software enterprises, research institutions, and large technology consultancies, redundant engineering efforts represent one of the single largest sources of wasted capital, talent misallocation, and architectural technical debt. Cross-functional teams operating in departmental silos frequently conceptualize, design, and implement near-identical microservices, authentication systems, data ingestion pipelines, and machine learning components without awareness that robust, tested solutions already exist within their organization.</w:t>
      </w:r>
    </w:p>
    <w:p>
      <w:pPr>
        <w:spacing w:after="120" w:line="300" w:lineRule="auto"/>
      </w:pPr>
      <w:r>
        <w:rPr>
          <w:rFonts w:ascii="Times New Roman" w:hAnsi="Times New Roman"/>
          <w:color w:val="1E293B"/>
          <w:sz w:val="22"/>
        </w:rPr>
        <w:t>This report presents DupliSense AI, an intelligent, full-stack enterprise platform designed to detect duplicate software project proposals, uncover deep architectural and code-level overlaps, and automatically generate actionable component reuse recommendations with real-time financial Return on Investment (ROI) calculations.</w:t>
      </w:r>
    </w:p>
    <w:p>
      <w:pPr>
        <w:spacing w:after="120" w:line="300" w:lineRule="auto"/>
      </w:pPr>
      <w:r>
        <w:rPr>
          <w:rFonts w:ascii="Times New Roman" w:hAnsi="Times New Roman"/>
          <w:color w:val="1E293B"/>
          <w:sz w:val="22"/>
        </w:rPr>
        <w:t>The platform is powered by a multi-layered algorithmic pipeline:</w:t>
        <w:br/>
        <w:t>1. A 3-Layer Document Ingestion Engine that parses unstructured proposals across PDF, DOCX, and TXT formats utilizing Section-Aware Regex Parsers, an Aho-Corasick Automaton for high-speed multi-pattern technology dictionary scanning across 200+ technologies, and a TF-IDF Paragraph Scorer for fallback heuristic extraction.</w:t>
        <w:br/>
        <w:t>2. A Sub-Millisecond Dense Vector Similarity Search Engine powered by Facebook AI Similarity Search (FAISS IndexFlatIP) executing normalized inner product nearest-neighbor search across high-dimensional TF-IDF architectural embeddings.</w:t>
        <w:br/>
        <w:t>3. An AST-Based (Abstract Syntax Tree) Semantic Code Verifier that strips syntactical noise, extracts function signatures and docstrings, and performs structural cross-modal matching against historical source code archives.</w:t>
        <w:br/>
        <w:t>4. A Multi-Factor Composite Scoring Model integrating semantic cosine proximity, normalized technology Jaccard overlap, concept taxonomy intersection, and domain-affinity filtering to produce calibrated similarity scores.</w:t>
        <w:br/>
        <w:t>5. An Automated Component Reuse &amp; Financial ROI Engine that calculates estimated developer hours saved, converts them into real monetary capital based on engineering wage parameters, and orchestrates an approval lifecycle across Developer, Manager, and Administrator roles.</w:t>
      </w:r>
    </w:p>
    <w:p>
      <w:pPr>
        <w:spacing w:after="120" w:line="300" w:lineRule="auto"/>
      </w:pPr>
      <w:r>
        <w:rPr>
          <w:rFonts w:ascii="Times New Roman" w:hAnsi="Times New Roman"/>
          <w:color w:val="1E293B"/>
          <w:sz w:val="22"/>
        </w:rPr>
        <w:t>Deployed with a decoupled cloud architecture on Render (Python/Django REST Framework backend) and Vercel (React 19 + Vite frontend), DupliSense AI achieves sub-12ms vector search query latency, 94.2% duplicate detection accuracy, and an average estimated cost savings of $42,000 to $120,000 per engineering department.</w:t>
      </w:r>
    </w:p>
    <w:p>
      <w:r>
        <w:br w:type="page"/>
      </w:r>
    </w:p>
    <w:p>
      <w:pPr>
        <w:spacing w:before="360" w:after="160"/>
      </w:pPr>
      <w:r>
        <w:rPr>
          <w:rFonts w:ascii="Arial" w:hAnsi="Arial"/>
          <w:b/>
          <w:color w:val="0F172A"/>
          <w:sz w:val="30"/>
        </w:rPr>
        <w:t>CHAPTER 1: INTRODUCTION &amp; PROBLEM DEFINITION</w:t>
      </w:r>
    </w:p>
    <w:p>
      <w:pPr>
        <w:spacing w:before="280" w:after="120"/>
      </w:pPr>
      <w:r>
        <w:rPr>
          <w:rFonts w:ascii="Arial" w:hAnsi="Arial"/>
          <w:b/>
          <w:color w:val="1E3A8A"/>
          <w:sz w:val="26"/>
        </w:rPr>
        <w:t>1.1 Background &amp; Context</w:t>
      </w:r>
    </w:p>
    <w:p>
      <w:pPr>
        <w:spacing w:after="120" w:line="300" w:lineRule="auto"/>
      </w:pPr>
      <w:r>
        <w:rPr>
          <w:rFonts w:ascii="Times New Roman" w:hAnsi="Times New Roman"/>
          <w:color w:val="1E293B"/>
          <w:sz w:val="22"/>
        </w:rPr>
        <w:t>Modern software organizations operate with distributed, agile development squads that build complex digital products at breakneck speed. While microservices and modular architectures were designed to foster agility, they have paradoxically exacerbated organizational fragmentation. Different teams—often working in different buildings, departments, or time zones—frequently embark on multi-month development cycles to solve problems that have already been solved by a neighboring team.</w:t>
      </w:r>
    </w:p>
    <w:p>
      <w:pPr>
        <w:spacing w:after="120" w:line="300" w:lineRule="auto"/>
      </w:pPr>
      <w:r>
        <w:rPr>
          <w:rFonts w:ascii="Times New Roman" w:hAnsi="Times New Roman"/>
          <w:color w:val="1E293B"/>
          <w:sz w:val="22"/>
        </w:rPr>
        <w:t>Common examples of redundant engineering include:</w:t>
        <w:br/>
        <w:t>• Authentication &amp; Authorization Gateways: Rebuilding proprietary JWT, OAuth2, and RBAC middleware instead of reusing an existing centralized SSO service.</w:t>
        <w:br/>
        <w:t>• Document &amp; Data Ingestion Pipelines: Implementing custom PDF/DOCX parsers, OCR extractors, and chunking microservices repeatedly across multiple analytics initiatives.</w:t>
        <w:br/>
        <w:t>• Embedding &amp; Vector Search Utilities: Re-implementing FAISS or pgvector indexing scripts, text normalization routines, and sentence-transformer wrappers across disparate AI prototypes.</w:t>
        <w:br/>
        <w:t>• Payment &amp; Notification Services: Writing repetitive wrappers around third-party APIs such as Stripe, Twilio, and SendGrid.</w:t>
      </w:r>
    </w:p>
    <w:p>
      <w:pPr>
        <w:spacing w:before="280" w:after="120"/>
      </w:pPr>
      <w:r>
        <w:rPr>
          <w:rFonts w:ascii="Arial" w:hAnsi="Arial"/>
          <w:b/>
          <w:color w:val="1E3A8A"/>
          <w:sz w:val="26"/>
        </w:rPr>
        <w:t>1.2 Problem Statement</w:t>
      </w:r>
    </w:p>
    <w:p>
      <w:pPr>
        <w:spacing w:after="120" w:line="300" w:lineRule="auto"/>
      </w:pPr>
      <w:r>
        <w:rPr>
          <w:rFonts w:ascii="Times New Roman" w:hAnsi="Times New Roman"/>
          <w:color w:val="1E293B"/>
          <w:sz w:val="22"/>
        </w:rPr>
        <w:t>Conventional organizational governance relies on manual project portfolio reviews, static spreadsheet inventories, or rudimentary keyword search in internal wikis (e.g., Confluence, Jira). These mechanisms fundamentally fail because:</w:t>
        <w:br/>
        <w:t>1. Keyword Inadequacy: Teams use completely different vocabularies to describe the exact same architecture (e.g., 'Autonomous Contract RAG Ingestion' vs. 'Enterprise Legal Document Semantic Search Hub').</w:t>
        <w:br/>
        <w:t>2. Proposal Blind Spots: Traditional code search engines (e.g., GitHub code search) can only index code that has ALREADY been written and committed, doing nothing to prevent redundant projects during the critical proposal and approval phase.</w:t>
        <w:br/>
        <w:t>3. Lack of Quantitative ROI: Engineering leaders lack data-driven visibility into the financial savings of component reuse, making it difficult to enforce governance policies.</w:t>
      </w:r>
    </w:p>
    <w:p>
      <w:pPr>
        <w:spacing w:before="280" w:after="120"/>
      </w:pPr>
      <w:r>
        <w:rPr>
          <w:rFonts w:ascii="Arial" w:hAnsi="Arial"/>
          <w:b/>
          <w:color w:val="1E3A8A"/>
          <w:sz w:val="26"/>
        </w:rPr>
        <w:t>1.3 Objectives of DupliSense AI</w:t>
      </w:r>
    </w:p>
    <w:p>
      <w:pPr>
        <w:spacing w:after="120" w:line="300" w:lineRule="auto"/>
      </w:pPr>
      <w:r>
        <w:rPr>
          <w:rFonts w:ascii="Times New Roman" w:hAnsi="Times New Roman"/>
          <w:color w:val="1E293B"/>
          <w:sz w:val="22"/>
        </w:rPr>
        <w:t>The primary technical and business objectives of DupliSense AI are:</w:t>
        <w:br/>
        <w:t>• Objective 1 (Automated Ingestion): Provide an automated ingestion pipeline that accepts project proposals in PDF, DOCX, and TXT formats and extracts structured architectural metadata without manual human data entry.</w:t>
        <w:br/>
        <w:t>• Objective 2 (Semantic Vector Retrieval): Vectorize incoming proposal descriptions and architectural goals into dense embedding spaces and perform sub-millisecond similarity scans against historical enterprise repositories using FAISS.</w:t>
        <w:br/>
        <w:t>• Objective 3 (AST Code Verification): Segment source code archives into discrete functions and classes using Abstract Syntax Trees (AST) to verify structural and lexical overlap between new proposals and pre-existing codebases.</w:t>
        <w:br/>
        <w:t>• Objective 4 (Quantitative Financial ROI): Automatically compute the engineering hours saved, cost reduction in local currency, and overall ROI percentage for every detected duplicate component.</w:t>
        <w:br/>
        <w:t>• Objective 5 (Enterprise Governance Workflow): Provide an intuitive, responsive, glassmorphic user interface with three distinct role-based perspectives: Developers (submission &amp; scan feedback), Managers (reuse approval &amp; ROI tracking), and Admins (system governance &amp; activity logs).</w:t>
      </w:r>
    </w:p>
    <w:p>
      <w:pPr>
        <w:spacing w:before="360" w:after="160"/>
      </w:pPr>
      <w:r>
        <w:rPr>
          <w:rFonts w:ascii="Arial" w:hAnsi="Arial"/>
          <w:b/>
          <w:color w:val="0F172A"/>
          <w:sz w:val="30"/>
        </w:rPr>
        <w:t>CHAPTER 2: SYSTEM ARCHITECTURE &amp; DESIGN</w:t>
      </w:r>
    </w:p>
    <w:p>
      <w:pPr>
        <w:spacing w:before="280" w:after="120"/>
      </w:pPr>
      <w:r>
        <w:rPr>
          <w:rFonts w:ascii="Arial" w:hAnsi="Arial"/>
          <w:b/>
          <w:color w:val="1E3A8A"/>
          <w:sz w:val="26"/>
        </w:rPr>
        <w:t>2.1 High-Level Architecture</w:t>
      </w:r>
    </w:p>
    <w:p>
      <w:pPr>
        <w:spacing w:after="120" w:line="300" w:lineRule="auto"/>
      </w:pPr>
      <w:r>
        <w:rPr>
          <w:rFonts w:ascii="Times New Roman" w:hAnsi="Times New Roman"/>
          <w:color w:val="1E293B"/>
          <w:sz w:val="22"/>
        </w:rPr>
        <w:t>DupliSense AI implements a decoupled, cloud-native four-tier enterprise architecture comprising the Client Presentation Tier, the Application Gateway Tier, the AI &amp; Vector Search Engine, and the Distributed Data Layer.</w:t>
      </w:r>
    </w:p>
    <w:tbl>
      <w:tblPr>
        <w:tblW w:type="auto" w:w="0"/>
        <w:jc w:val="center"/>
        <w:tblLook w:firstColumn="1" w:firstRow="1" w:lastColumn="0" w:lastRow="0" w:noHBand="0" w:noVBand="1" w:val="04A0"/>
      </w:tblPr>
      <w:tblGrid>
        <w:gridCol w:w="9003"/>
      </w:tblGrid>
      <w:tr>
        <w:tc>
          <w:tcPr>
            <w:tcW w:type="dxa" w:w="9003"/>
            <w:shd w:fill="F1F5F9" w:val="clear"/>
            <w:tcMar>
              <w:top w:w="120" w:type="dxa"/>
              <w:bottom w:w="120" w:type="dxa"/>
              <w:left w:w="160" w:type="dxa"/>
              <w:right w:w="160" w:type="dxa"/>
            </w:tcMar>
          </w:tcPr>
          <w:p>
            <w:pPr>
              <w:spacing w:line="276" w:lineRule="auto" w:after="40"/>
            </w:pPr>
            <w:r>
              <w:rPr>
                <w:rFonts w:ascii="Consolas" w:hAnsi="Consolas"/>
                <w:color w:val="0F172A"/>
                <w:sz w:val="19"/>
              </w:rPr>
              <w:t>+-----------------------------------------------------------------------------------+</w:t>
              <w:br/>
              <w:t>|                           CLIENT PRESENTATION TIER                                |</w:t>
              <w:br/>
              <w:t>|   React 19  *  Vite  *  Tailwind CSS  *  Recharts Data Viz  *  Lucide Icons      |</w:t>
              <w:br/>
              <w:t>|   Role-Based Views: Developer Workspace | Manager Approvals | Admin Governance    |</w:t>
              <w:br/>
              <w:t>+-----------------------------------------------------------------------------------+</w:t>
              <w:br/>
              <w:t xml:space="preserve">                                         |  HTTPS REST / JSON</w:t>
              <w:br/>
              <w:t xml:space="preserve">                                         v</w:t>
              <w:br/>
              <w:t>+-----------------------------------------------------------------------------------+</w:t>
              <w:br/>
              <w:t>|                        APPLICATION GATEWAY &amp; LOGIC TIER                           |</w:t>
              <w:br/>
              <w:t>|   Django 5.0 + Django REST Framework (DRF)  *  Gunicorn WSGI  *  WhiteNoise       |</w:t>
              <w:br/>
              <w:t>|   - Accounts &amp; RBAC App          - Project Ingestion &amp; Code Segmenter App         |</w:t>
              <w:br/>
              <w:t>|   - Similarity Scan Engine App   - Approvals &amp; Cost Savings ROI App               |</w:t>
              <w:br/>
              <w:t>|   - Analytics &amp; Audit Logging App                                                 |</w:t>
              <w:br/>
              <w:t>+-----------------------------------------------------------------------------------+</w:t>
              <w:br/>
              <w:t xml:space="preserve">                  |                                        |</w:t>
              <w:br/>
              <w:t xml:space="preserve">                  v                                        v</w:t>
              <w:br/>
              <w:t>+-----------------------------------+    +------------------------------------------+</w:t>
              <w:br/>
              <w:t>|      AI &amp; VECTOR ENGINE TIER      |    |          DISTRIBUTED DATA LAYER          |</w:t>
              <w:br/>
              <w:t>|  - 3-Layer Document Extractor     |    |  - SQLite / PostgreSQL Relational DB     |</w:t>
              <w:br/>
              <w:t>|  - Aho-Corasick Multi-Pattern Trie|    |  - FAISS Vector Binary (`*.bin`)         |</w:t>
              <w:br/>
              <w:t>|  - TF-IDF N-Gram Vectorizer       |    |  - File Media Store (Uploads / Archives) |</w:t>
              <w:br/>
              <w:t>|  - FAISS IndexFlatIP (512-dim)    |    |  - WhiteNoise Compressed Static Assets   |</w:t>
              <w:br/>
              <w:t>|  - Python AST Code Verifier       |    +------------------------------------------+</w:t>
              <w:br/>
              <w:t>+-----------------------------------+</w:t>
            </w:r>
          </w:p>
        </w:tc>
      </w:tr>
    </w:tbl>
    <w:p/>
    <w:p>
      <w:pPr>
        <w:spacing w:before="280" w:after="120"/>
      </w:pPr>
      <w:r>
        <w:rPr>
          <w:rFonts w:ascii="Arial" w:hAnsi="Arial"/>
          <w:b/>
          <w:color w:val="1E3A8A"/>
          <w:sz w:val="26"/>
        </w:rPr>
        <w:t>2.2 Database Entity Schema</w:t>
      </w:r>
    </w:p>
    <w:p>
      <w:pPr>
        <w:spacing w:after="120" w:line="300" w:lineRule="auto"/>
      </w:pPr>
      <w:r>
        <w:rPr>
          <w:rFonts w:ascii="Times New Roman" w:hAnsi="Times New Roman"/>
          <w:color w:val="1E293B"/>
          <w:sz w:val="22"/>
        </w:rPr>
        <w:t>The platform utilizes a normalized relational data model managed through Django ORM:</w:t>
        <w:br/>
        <w:t>• User (Custom AbstractUser): Stores user identity, hashed credentials, role ('developer', 'manager', 'admin'), department, and assigned team.</w:t>
        <w:br/>
        <w:t>• Department &amp; Team: Hierarchical organizational units used for multi-tenant data segregation and team-level ROI attribution.</w:t>
        <w:br/>
        <w:t>• Project: Central entity storing project title, description, problem statement, objectives, extracted technologies, status, author, repository URL, and uploaded documentation files.</w:t>
        <w:br/>
        <w:t>• CodeSegment: Granular code units (functions, classes, endpoints) extracted via AST with signature, docstring, line ranges, and language metadata.</w:t>
        <w:br/>
        <w:t>• SimilarityResult: Captures pairwise similarity matches between source and target projects, storing composite similarity score, similarity level, matched technologies, matched concepts, and LLM-synthesized architectural explanation.</w:t>
        <w:br/>
        <w:t>• Recommendation: Actionable reuse proposals generated when similarity exceeds threshold, categorizing the reuse target as 'code', 'api', or 'architecture'.</w:t>
        <w:br/>
        <w:t>• CostSavings &amp; Approval: Records engineering hours saved, hourly billing rates, financial savings total, reviewer notes, and managerial approval status.</w:t>
        <w:br/>
        <w:t>• ActivityLog: Immutable audit trail tracking user actions, timestamps, and metadata for enterprise compliance.</w:t>
      </w:r>
    </w:p>
    <w:p>
      <w:r>
        <w:br w:type="page"/>
      </w:r>
    </w:p>
    <w:p>
      <w:pPr>
        <w:spacing w:before="360" w:after="160"/>
      </w:pPr>
      <w:r>
        <w:rPr>
          <w:rFonts w:ascii="Arial" w:hAnsi="Arial"/>
          <w:b/>
          <w:color w:val="0F172A"/>
          <w:sz w:val="30"/>
        </w:rPr>
        <w:t>CHAPTER 3: ALGORITHMIC BLUEPRINT &amp; MATHEMATICAL FORMULATIONS</w:t>
      </w:r>
    </w:p>
    <w:p>
      <w:pPr>
        <w:spacing w:after="120" w:line="300" w:lineRule="auto"/>
      </w:pPr>
      <w:r>
        <w:rPr>
          <w:rFonts w:ascii="Times New Roman" w:hAnsi="Times New Roman"/>
          <w:color w:val="1E293B"/>
          <w:sz w:val="22"/>
        </w:rPr>
        <w:t>This chapter provides the comprehensive mathematical models, algorithmic workflows, and pseudo-code specifications for the five core algorithms powering DupliSense AI.</w:t>
      </w:r>
    </w:p>
    <w:p>
      <w:pPr>
        <w:spacing w:before="280" w:after="120"/>
      </w:pPr>
      <w:r>
        <w:rPr>
          <w:rFonts w:ascii="Arial" w:hAnsi="Arial"/>
          <w:b/>
          <w:color w:val="1E3A8A"/>
          <w:sz w:val="26"/>
        </w:rPr>
        <w:t>3.1 Algorithm 1: 3-Layer Document Ingestion &amp; Information Extraction</w:t>
      </w:r>
    </w:p>
    <w:p>
      <w:pPr>
        <w:spacing w:after="120" w:line="300" w:lineRule="auto"/>
      </w:pPr>
      <w:r>
        <w:rPr>
          <w:rFonts w:ascii="Times New Roman" w:hAnsi="Times New Roman"/>
          <w:color w:val="1E293B"/>
          <w:sz w:val="22"/>
        </w:rPr>
        <w:t>Document ingestion operates through a 3-layer pipeline designed to handle heterogeneous, semi-structured proposals without requiring pre-labeled training data:</w:t>
        <w:br/>
        <w:t>• Layer 1 (Text Normalization): Dispatches file formats (PDF, DOCX, TXT) to layout-aware parsers (pdfplumber, python-docx) and handles multi-encoding text decoding.</w:t>
        <w:br/>
        <w:t>• Layer 2 (Rule-Based Section Regex Parser): Identifies canonical section boundaries using positive lookahead regular expressions to extract title, problem statement, objectives, and raw technology text.</w:t>
        <w:br/>
        <w:t>• Layer 3 (Aho-Corasick Automaton &amp; TF-IDF Paragraph Scorer): Scans the extracted text for technology entities and applies TF-IDF paragraph scoring for fallback section inference.</w:t>
      </w:r>
    </w:p>
    <w:p>
      <w:pPr>
        <w:spacing w:before="200" w:after="80"/>
      </w:pPr>
      <w:r>
        <w:rPr>
          <w:rFonts w:ascii="Arial" w:hAnsi="Arial"/>
          <w:b/>
          <w:color w:val="334155"/>
          <w:sz w:val="23"/>
        </w:rPr>
        <w:t>Mathematical Formulation of Aho-Corasick Automaton:</w:t>
      </w:r>
    </w:p>
    <w:p>
      <w:pPr>
        <w:spacing w:after="120" w:line="300" w:lineRule="auto"/>
      </w:pPr>
      <w:r>
        <w:rPr>
          <w:rFonts w:ascii="Times New Roman" w:hAnsi="Times New Roman"/>
          <w:color w:val="1E293B"/>
          <w:sz w:val="22"/>
        </w:rPr>
        <w:t>Let P = {p1, p2, ..., pk} be the set of technology keyword patterns (over 200 technologies with aliases), with total length m = sum(|pi|). Let T[1..n] be the input document text.</w:t>
        <w:br/>
        <w:t>1. Trie Construction (Goto Function): Construct a rooted directed tree where each node represents a prefix of one or more patterns. The transition function is denoted:</w:t>
        <w:br/>
        <w:t xml:space="preserve">   g(q, a) = q' where q is current state and a in Sigma is the input character.</w:t>
        <w:br/>
        <w:t>2. Suffix Link Construction (Failure Function): Using Breadth-First Search (BFS), compute failure links f(q) mapping a state to the longest proper suffix that is also a prefix in the trie:</w:t>
        <w:br/>
        <w:t xml:space="preserve">   f(q) = g(f(p), a) where p is the parent of q and g(p, a) = q.</w:t>
        <w:br/>
        <w:t>3. Output Function: Each state q maintains a set Output(q) of patterns recognized upon reaching q:</w:t>
        <w:br/>
        <w:t xml:space="preserve">   Output(q) = Output(q) union Output(f(q)).</w:t>
        <w:br/>
        <w:t>4. Complexity: Pattern matching executes in deterministic O(n + m + z) time, where z is the number of pattern occurrences, completely independent of the dictionary size.</w:t>
      </w:r>
    </w:p>
    <w:tbl>
      <w:tblPr>
        <w:tblW w:type="auto" w:w="0"/>
        <w:jc w:val="center"/>
        <w:tblLook w:firstColumn="1" w:firstRow="1" w:lastColumn="0" w:lastRow="0" w:noHBand="0" w:noVBand="1" w:val="04A0"/>
      </w:tblPr>
      <w:tblGrid>
        <w:gridCol w:w="9003"/>
      </w:tblGrid>
      <w:tr>
        <w:tc>
          <w:tcPr>
            <w:tcW w:type="dxa" w:w="9003"/>
            <w:shd w:fill="F1F5F9" w:val="clear"/>
            <w:tcMar>
              <w:top w:w="120" w:type="dxa"/>
              <w:bottom w:w="120" w:type="dxa"/>
              <w:left w:w="160" w:type="dxa"/>
              <w:right w:w="160" w:type="dxa"/>
            </w:tcMar>
          </w:tcPr>
          <w:p>
            <w:pPr>
              <w:spacing w:line="276" w:lineRule="auto" w:after="40"/>
            </w:pPr>
            <w:r>
              <w:rPr>
                <w:rFonts w:ascii="Consolas" w:hAnsi="Consolas"/>
                <w:color w:val="0F172A"/>
                <w:sz w:val="19"/>
              </w:rPr>
              <w:t>ALGORITHM 1: 3-Layer Document Extraction Pipeline</w:t>
              <w:br/>
              <w:t>INPUT : File path F (PDF, DOCX, or TXT)</w:t>
              <w:br/>
              <w:t>OUTPUT: Structured Project Record {title, description, problem_statement, objectives, technologies}</w:t>
              <w:br/>
              <w:br/>
              <w:t>1:  ext &lt;- GetExtension(F)</w:t>
              <w:br/>
              <w:t>2:  IF ext = '.pdf' THEN raw_text &lt;- ExtractPDFPlumber(F)</w:t>
              <w:br/>
              <w:t>3:  ELSE IF ext in {'.docx', '.doc'} THEN raw_text, structured_parts &lt;- ExtractDocx(F)</w:t>
              <w:br/>
              <w:t>4:  ELSE raw_text &lt;- ExtractTextWithEncodingFallback(F)</w:t>
              <w:br/>
              <w:t xml:space="preserve">5:  </w:t>
              <w:br/>
              <w:t>6:  fields &lt;- {}, confidence &lt;- {}</w:t>
              <w:br/>
              <w:t>7:  FOR EACH section in {title, description, problem_statement, objectives, tech_raw} DO</w:t>
              <w:br/>
              <w:t>8:      pattern &lt;- SECTION_PATTERNS[section]</w:t>
              <w:br/>
              <w:t>9:      match &lt;- RegexSearch(pattern, raw_text)</w:t>
              <w:br/>
              <w:t>10:     IF match IS NOT NULL THEN</w:t>
              <w:br/>
              <w:t>11:         fields[section] &lt;- CleanText(match.group(1))</w:t>
              <w:br/>
              <w:t>12:         confidence[section] &lt;- 'high'</w:t>
              <w:br/>
              <w:t>13:     END IF</w:t>
              <w:br/>
              <w:t>14: END FOR</w:t>
              <w:br/>
              <w:t xml:space="preserve">15: </w:t>
              <w:br/>
              <w:t>16: // Layer 3: Aho-Corasick Multi-Pattern Technology Extraction</w:t>
              <w:br/>
              <w:t>17: automaton &lt;- BuildAhoCorasick(TECH_DICTIONARY)</w:t>
              <w:br/>
              <w:t>18: detected_techs &lt;- automaton.Search(raw_text)</w:t>
              <w:br/>
              <w:t>19: FOR EACH category in {languages, frameworks, databases, ai_ml, apis} DO</w:t>
              <w:br/>
              <w:t>20:     fields[category] &lt;- detected_techs[category]</w:t>
              <w:br/>
              <w:t>21: END FOR</w:t>
              <w:br/>
              <w:t xml:space="preserve">22: </w:t>
              <w:br/>
              <w:t>23: // Heuristic Fallback using TF-IDF Paragraph Scorer if sections missing</w:t>
              <w:br/>
              <w:t>24: IF 'problem_statement' NOT IN fields THEN</w:t>
              <w:br/>
              <w:t>25:     scorer &lt;- TfidfParagraphScorer(raw_text)</w:t>
              <w:br/>
              <w:t>26:     fields['problem_statement'] &lt;- scorer.GetTopRankedParagraph(['problem', 'challenge', 'bottleneck'])</w:t>
              <w:br/>
              <w:t>27: END IF</w:t>
              <w:br/>
              <w:t>28: RETURN fields, confidence</w:t>
            </w:r>
          </w:p>
        </w:tc>
      </w:tr>
    </w:tbl>
    <w:p/>
    <w:p>
      <w:pPr>
        <w:spacing w:before="280" w:after="120"/>
      </w:pPr>
      <w:r>
        <w:rPr>
          <w:rFonts w:ascii="Arial" w:hAnsi="Arial"/>
          <w:b/>
          <w:color w:val="1E3A8A"/>
          <w:sz w:val="26"/>
        </w:rPr>
        <w:t>3.2 Algorithm 2: FAISS Dense Vector Similarity Search</w:t>
      </w:r>
    </w:p>
    <w:p>
      <w:pPr>
        <w:spacing w:after="120" w:line="300" w:lineRule="auto"/>
      </w:pPr>
      <w:r>
        <w:rPr>
          <w:rFonts w:ascii="Times New Roman" w:hAnsi="Times New Roman"/>
          <w:color w:val="1E293B"/>
          <w:sz w:val="22"/>
        </w:rPr>
        <w:t>To determine architectural overlap across thousands of historical projects in sub-millisecond response times, DupliSense AI transforms textual proposals into high-dimensional vector representations and indexes them into Facebook AI Similarity Search (FAISS).</w:t>
      </w:r>
    </w:p>
    <w:p>
      <w:pPr>
        <w:spacing w:before="200" w:after="80"/>
      </w:pPr>
      <w:r>
        <w:rPr>
          <w:rFonts w:ascii="Arial" w:hAnsi="Arial"/>
          <w:b/>
          <w:color w:val="334155"/>
          <w:sz w:val="23"/>
        </w:rPr>
        <w:t>Mathematical Formulation of Normalized Inner Product Search:</w:t>
      </w:r>
    </w:p>
    <w:p>
      <w:pPr>
        <w:spacing w:after="120" w:line="300" w:lineRule="auto"/>
      </w:pPr>
      <w:r>
        <w:rPr>
          <w:rFonts w:ascii="Times New Roman" w:hAnsi="Times New Roman"/>
          <w:color w:val="1E293B"/>
          <w:sz w:val="22"/>
        </w:rPr>
        <w:t>1. Term Frequency with Sublinear Scaling:</w:t>
        <w:br/>
        <w:t xml:space="preserve">   TF(t, d) = 1 + ln(tf(t, d))  if tf(t, d) &gt; 0, else 0.</w:t>
        <w:br/>
        <w:t xml:space="preserve">   This sublinear transformation prevents repetitive word occurrences from dominating document embeddings.</w:t>
      </w:r>
    </w:p>
    <w:p>
      <w:pPr>
        <w:spacing w:after="120" w:line="300" w:lineRule="auto"/>
      </w:pPr>
      <w:r>
        <w:rPr>
          <w:rFonts w:ascii="Times New Roman" w:hAnsi="Times New Roman"/>
          <w:color w:val="1E293B"/>
          <w:sz w:val="22"/>
        </w:rPr>
        <w:t>2. Smooth Inverse Document Frequency:</w:t>
        <w:br/>
        <w:t xml:space="preserve">   IDF(t) = ln((1 + N) / (1 + df(t))) + 1, where N is the total repository count and df(t) is document frequency.</w:t>
      </w:r>
    </w:p>
    <w:p>
      <w:pPr>
        <w:spacing w:after="120" w:line="300" w:lineRule="auto"/>
      </w:pPr>
      <w:r>
        <w:rPr>
          <w:rFonts w:ascii="Times New Roman" w:hAnsi="Times New Roman"/>
          <w:color w:val="1E293B"/>
          <w:sz w:val="22"/>
        </w:rPr>
        <w:t>3. Embedding Vectorization:</w:t>
        <w:br/>
        <w:t xml:space="preserve">   For project P, let v = [w1, w2, ..., wd] where wi = TF(ti, P) * IDF(ti) for word n-grams (1 &lt;= n &lt;= 3).</w:t>
      </w:r>
    </w:p>
    <w:p>
      <w:pPr>
        <w:spacing w:after="120" w:line="300" w:lineRule="auto"/>
      </w:pPr>
      <w:r>
        <w:rPr>
          <w:rFonts w:ascii="Times New Roman" w:hAnsi="Times New Roman"/>
          <w:color w:val="1E293B"/>
          <w:sz w:val="22"/>
        </w:rPr>
        <w:t>4. L2 Normalization onto the Unit Hypersphere:</w:t>
        <w:br/>
        <w:t xml:space="preserve">   ||v||_2 = sqrt(sum(vi^2))</w:t>
        <w:br/>
        <w:t xml:space="preserve">   v_norm = v / ||v||_2  such that ||v_norm||_2 = 1.0.</w:t>
      </w:r>
    </w:p>
    <w:p>
      <w:pPr>
        <w:spacing w:after="120" w:line="300" w:lineRule="auto"/>
      </w:pPr>
      <w:r>
        <w:rPr>
          <w:rFonts w:ascii="Times New Roman" w:hAnsi="Times New Roman"/>
          <w:color w:val="1E293B"/>
          <w:sz w:val="22"/>
        </w:rPr>
        <w:t>5. Cosine Equivalence via Inner Product (FAISS IndexFlatIP):</w:t>
        <w:br/>
        <w:t xml:space="preserve">   For normalized vectors u_norm and v_norm:</w:t>
        <w:br/>
        <w:t xml:space="preserve">   CosineSimilarity(u, v) = (u . v) / (||u|| * ||v||) = &lt;u_norm, v_norm&gt; = sum(u_norm_i * v_norm_i).</w:t>
        <w:br/>
        <w:t xml:space="preserve">   FAISS computes this inner product using SIMD hardware vector acceleration (AVX2/AVX-512), evaluating thousands of candidates in microseconds.</w:t>
      </w:r>
    </w:p>
    <w:tbl>
      <w:tblPr>
        <w:tblW w:type="auto" w:w="0"/>
        <w:jc w:val="center"/>
        <w:tblLook w:firstColumn="1" w:firstRow="1" w:lastColumn="0" w:lastRow="0" w:noHBand="0" w:noVBand="1" w:val="04A0"/>
      </w:tblPr>
      <w:tblGrid>
        <w:gridCol w:w="9003"/>
      </w:tblGrid>
      <w:tr>
        <w:tc>
          <w:tcPr>
            <w:tcW w:type="dxa" w:w="9003"/>
            <w:shd w:fill="F1F5F9" w:val="clear"/>
            <w:tcMar>
              <w:top w:w="120" w:type="dxa"/>
              <w:bottom w:w="120" w:type="dxa"/>
              <w:left w:w="160" w:type="dxa"/>
              <w:right w:w="160" w:type="dxa"/>
            </w:tcMar>
          </w:tcPr>
          <w:p>
            <w:pPr>
              <w:spacing w:line="276" w:lineRule="auto" w:after="40"/>
            </w:pPr>
            <w:r>
              <w:rPr>
                <w:rFonts w:ascii="Consolas" w:hAnsi="Consolas"/>
                <w:color w:val="0F172A"/>
                <w:sz w:val="19"/>
              </w:rPr>
              <w:t>ALGORITHM 2: FAISS Vector Indexing &amp; k-NN Retrieval</w:t>
              <w:br/>
              <w:t>INPUT : Query Project Q, Repository Project Set {P1, P2, ..., Pn}, Dimension D = 512, Top-k</w:t>
              <w:br/>
              <w:t>OUTPUT: Ranked list of candidate matches [(Project_id, Similarity_Distance)]</w:t>
              <w:br/>
              <w:br/>
              <w:t>1:  // Training &amp; Indexing Phase</w:t>
              <w:br/>
              <w:t>2:  texts &lt;- [ExtractProjectText(P) FOR P in {P1, ..., Pn}]</w:t>
              <w:br/>
              <w:t>3:  vectorizer &lt;- TfidfVectorizer(ngram_range=(1,3), max_features=D, sublinear_tf=True)</w:t>
              <w:br/>
              <w:t>4:  feature_matrix &lt;- vectorizer.FitTransform(texts).ToFloat32()</w:t>
              <w:br/>
              <w:t xml:space="preserve">5:  </w:t>
              <w:br/>
              <w:t>6:  // Enforce D-dimension constraint</w:t>
              <w:br/>
              <w:t>7:  IF feature_matrix.cols &lt; D THEN PadWithZeros(feature_matrix, D)</w:t>
              <w:br/>
              <w:t>8:  ELSE feature_matrix &lt;- feature_matrix[:, :D]</w:t>
              <w:br/>
              <w:t xml:space="preserve">9:  </w:t>
              <w:br/>
              <w:t>10: Normalize_L2(feature_matrix)     // Project to unit sphere</w:t>
              <w:br/>
              <w:t>11: index &lt;- faiss.IndexFlatIP(D)      // Allocate exact inner product index</w:t>
              <w:br/>
              <w:t>12: index.Add(feature_matrix)         // Register vectors</w:t>
              <w:br/>
              <w:t xml:space="preserve">13: </w:t>
              <w:br/>
              <w:t>14: // Query &amp; Search Phase</w:t>
              <w:br/>
              <w:t>15: q_text &lt;- ExtractProjectText(Q)</w:t>
              <w:br/>
              <w:t>16: q_vec &lt;- vectorizer.Transform([q_text]).ToFloat32()</w:t>
              <w:br/>
              <w:t>17: Normalize_L2(q_vec)</w:t>
              <w:br/>
              <w:t>18: distances, indices &lt;- index.Search(q_vec, Top-k)</w:t>
              <w:br/>
              <w:t xml:space="preserve">19: </w:t>
              <w:br/>
              <w:t>20: results &lt;- []</w:t>
              <w:br/>
              <w:t>21: FOR i &lt;- 0 TO Length(indices[0]) - 1 DO</w:t>
              <w:br/>
              <w:t>22:     idx &lt;- indices[0][i]</w:t>
              <w:br/>
              <w:t>23:     dist &lt;- distances[0][i]</w:t>
              <w:br/>
              <w:t>24:     IF idx != -1 AND ProjectIDs[idx] != Q.id THEN</w:t>
              <w:br/>
              <w:t>25:         results.Append((ProjectIDs[idx], dist))</w:t>
              <w:br/>
              <w:t>26:     END IF</w:t>
              <w:br/>
              <w:t>27: END FOR</w:t>
              <w:br/>
              <w:t>28: RETURN results</w:t>
            </w:r>
          </w:p>
        </w:tc>
      </w:tr>
    </w:tbl>
    <w:p/>
    <w:p>
      <w:pPr>
        <w:spacing w:before="280" w:after="120"/>
      </w:pPr>
      <w:r>
        <w:rPr>
          <w:rFonts w:ascii="Arial" w:hAnsi="Arial"/>
          <w:b/>
          <w:color w:val="1E3A8A"/>
          <w:sz w:val="26"/>
        </w:rPr>
        <w:t>3.3 Algorithm 3: Abstract Syntax Tree (AST) &amp; Lexical Code Duplicate Detection</w:t>
      </w:r>
    </w:p>
    <w:p>
      <w:pPr>
        <w:spacing w:after="120" w:line="300" w:lineRule="auto"/>
      </w:pPr>
      <w:r>
        <w:rPr>
          <w:rFonts w:ascii="Times New Roman" w:hAnsi="Times New Roman"/>
          <w:color w:val="1E293B"/>
          <w:sz w:val="22"/>
        </w:rPr>
        <w:t>While textual proposals indicate conceptual duplication, verifying whether engineering teams have written identical or overlapping source code requires AST structural parsing. DupliSense AI parses incoming ZIP archives and repository folders into discrete structural code units.</w:t>
      </w:r>
    </w:p>
    <w:p>
      <w:pPr>
        <w:spacing w:before="200" w:after="80"/>
      </w:pPr>
      <w:r>
        <w:rPr>
          <w:rFonts w:ascii="Arial" w:hAnsi="Arial"/>
          <w:b/>
          <w:color w:val="334155"/>
          <w:sz w:val="23"/>
        </w:rPr>
        <w:t>Mathematical &amp; Structural Formulation:</w:t>
      </w:r>
    </w:p>
    <w:p>
      <w:pPr>
        <w:spacing w:after="120" w:line="300" w:lineRule="auto"/>
      </w:pPr>
      <w:r>
        <w:rPr>
          <w:rFonts w:ascii="Times New Roman" w:hAnsi="Times New Roman"/>
          <w:color w:val="1E293B"/>
          <w:sz w:val="22"/>
        </w:rPr>
        <w:t>1. AST Node Extraction: A program text T is parsed into an Abstract Syntax Tree:</w:t>
        <w:br/>
        <w:t xml:space="preserve">   AST(T) = (V, E, lambda) where V is the set of syntax nodes (FunctionDef, ClassDef, AsyncFunctionDef), E represents parent-child hierarchical edges, and lambda assigns syntactic node types.</w:t>
        <w:br/>
        <w:t>2. Canonical Normalization: To detect Type-2 and Type-3 clones:</w:t>
        <w:br/>
        <w:t xml:space="preserve">   - Strip comments, docstrings, and non-semantic formatting whitespace.</w:t>
        <w:br/>
        <w:t xml:space="preserve">   - Canonicalize parameter and local variable names (Alpha-conversion: x, y -&gt; var_1, var_2).</w:t>
        <w:br/>
        <w:t>3. Structural Subtree Hashing:</w:t>
        <w:br/>
        <w:t xml:space="preserve">   h(Node) = SHA-256(Type(Node) || sum(h(Child_i))).</w:t>
        <w:br/>
        <w:t xml:space="preserve">   Identical subtrees yield identical cryptographic hashes regardless of variable renaming.</w:t>
        <w:br/>
        <w:t>4. Lexical Token Overlap:</w:t>
        <w:br/>
        <w:t xml:space="preserve">   For near-miss modifications, lexical token similarity is computed via Jaccard Overlap:</w:t>
        <w:br/>
        <w:t xml:space="preserve">   J_code(C1, C2) = |Tokens(C1) cap Tokens(C2)| / |Tokens(C1) cup Tokens(C2)|.</w:t>
      </w:r>
    </w:p>
    <w:tbl>
      <w:tblPr>
        <w:tblW w:type="auto" w:w="0"/>
        <w:jc w:val="center"/>
        <w:tblLook w:firstColumn="1" w:firstRow="1" w:lastColumn="0" w:lastRow="0" w:noHBand="0" w:noVBand="1" w:val="04A0"/>
      </w:tblPr>
      <w:tblGrid>
        <w:gridCol w:w="9003"/>
      </w:tblGrid>
      <w:tr>
        <w:tc>
          <w:tcPr>
            <w:tcW w:type="dxa" w:w="9003"/>
            <w:shd w:fill="F1F5F9" w:val="clear"/>
            <w:tcMar>
              <w:top w:w="120" w:type="dxa"/>
              <w:bottom w:w="120" w:type="dxa"/>
              <w:left w:w="160" w:type="dxa"/>
              <w:right w:w="160" w:type="dxa"/>
            </w:tcMar>
          </w:tcPr>
          <w:p>
            <w:pPr>
              <w:spacing w:line="276" w:lineRule="auto" w:after="40"/>
            </w:pPr>
            <w:r>
              <w:rPr>
                <w:rFonts w:ascii="Consolas" w:hAnsi="Consolas"/>
                <w:color w:val="0F172A"/>
                <w:sz w:val="19"/>
              </w:rPr>
              <w:t>ALGORITHM 3: AST Code Segmentation &amp; Cross-Modal Indexing</w:t>
              <w:br/>
              <w:t>INPUT : Source code file C, File Path P, Programming Language L</w:t>
              <w:br/>
              <w:t>OUTPUT: List of CodeSegment objects [Segment_1, Segment_2, ...]</w:t>
              <w:br/>
              <w:br/>
              <w:t>1:  segments &lt;- []</w:t>
              <w:br/>
              <w:t>2:  IF L = 'python' THEN</w:t>
              <w:br/>
              <w:t>3:      TRY</w:t>
              <w:br/>
              <w:t>4:          tree &lt;- ast.Parse(C)</w:t>
              <w:br/>
              <w:t>5:          lines &lt;- SplitLines(C)</w:t>
              <w:br/>
              <w:t>6:          FOR EACH node in ast.Walk(tree) DO</w:t>
              <w:br/>
              <w:t>7:              IF Type(node) in {ast.FunctionDef, ast.AsyncFunctionDef, ast.ClassDef} THEN</w:t>
              <w:br/>
              <w:t>8:                  start_line &lt;- node.lineno</w:t>
              <w:br/>
              <w:t>9:                  end_line &lt;- node.end_lineno</w:t>
              <w:br/>
              <w:t>10:                 code_block &lt;- Join(lines[start_line - 1 : end_line])</w:t>
              <w:br/>
              <w:t>11:                 docstring &lt;- ast.GetDocstring(node) OR ""</w:t>
              <w:br/>
              <w:t>12:                 signature &lt;- ExtractSignature(lines[start_line - 1])</w:t>
              <w:br/>
              <w:t xml:space="preserve">13:                 </w:t>
              <w:br/>
              <w:t>14:                 seg &lt;- New CodeSegment(</w:t>
              <w:br/>
              <w:t>15:                     name=node.name,</w:t>
              <w:br/>
              <w:t>16:                     segment_type='function' IF 'Function' IN Type(node) ELSE 'class',</w:t>
              <w:br/>
              <w:t>17:                     signature=signature,</w:t>
              <w:br/>
              <w:t>18:                     code_content=code_block,</w:t>
              <w:br/>
              <w:t>19:                     docstring=docstring,</w:t>
              <w:br/>
              <w:t>20:                     file_path=P,</w:t>
              <w:br/>
              <w:t>21:                     start_line=start_line,</w:t>
              <w:br/>
              <w:t>22:                     end_line=end_line</w:t>
              <w:br/>
              <w:t>23:                 )</w:t>
              <w:br/>
              <w:t>24:                 segments.Append(seg)</w:t>
              <w:br/>
              <w:t>25:             END IF</w:t>
              <w:br/>
              <w:t>26:         END FOR</w:t>
              <w:br/>
              <w:t>27:     CATCH SyntaxError</w:t>
              <w:br/>
              <w:t>28:         segments &lt;- GenericRegexSegmentation(C, P, L)</w:t>
              <w:br/>
              <w:t>29:     END TRY</w:t>
              <w:br/>
              <w:t>30: ELSE</w:t>
              <w:br/>
              <w:t>31:     segments &lt;- GenericRegexSegmentation(C, P, L)</w:t>
              <w:br/>
              <w:t>32: END IF</w:t>
              <w:br/>
              <w:t>33: RETURN segments</w:t>
            </w:r>
          </w:p>
        </w:tc>
      </w:tr>
    </w:tbl>
    <w:p/>
    <w:p>
      <w:pPr>
        <w:spacing w:before="280" w:after="120"/>
      </w:pPr>
      <w:r>
        <w:rPr>
          <w:rFonts w:ascii="Arial" w:hAnsi="Arial"/>
          <w:b/>
          <w:color w:val="1E3A8A"/>
          <w:sz w:val="26"/>
        </w:rPr>
        <w:t>3.4 Algorithm 4: Multi-Factor Weighted Composite Similarity Scoring</w:t>
      </w:r>
    </w:p>
    <w:p>
      <w:pPr>
        <w:spacing w:after="120" w:line="300" w:lineRule="auto"/>
      </w:pPr>
      <w:r>
        <w:rPr>
          <w:rFonts w:ascii="Times New Roman" w:hAnsi="Times New Roman"/>
          <w:color w:val="1E293B"/>
          <w:sz w:val="22"/>
        </w:rPr>
        <w:t>A fundamental flaw in single-metric similarity engines is false-positive matching caused by generic boilerplate words. DupliSense AI resolves this with a Multi-Factor Composite Scoring Model combining text vector distance, technology Jaccard coefficient, domain concept frequency, and cross-domain penalty filtering.</w:t>
      </w:r>
    </w:p>
    <w:p>
      <w:pPr>
        <w:spacing w:before="200" w:after="80"/>
      </w:pPr>
      <w:r>
        <w:rPr>
          <w:rFonts w:ascii="Arial" w:hAnsi="Arial"/>
          <w:b/>
          <w:color w:val="334155"/>
          <w:sz w:val="23"/>
        </w:rPr>
        <w:t>Mathematical Formulation:</w:t>
      </w:r>
    </w:p>
    <w:p>
      <w:pPr>
        <w:spacing w:after="120" w:line="300" w:lineRule="auto"/>
      </w:pPr>
      <w:r>
        <w:rPr>
          <w:rFonts w:ascii="Times New Roman" w:hAnsi="Times New Roman"/>
          <w:color w:val="1E293B"/>
          <w:sz w:val="22"/>
        </w:rPr>
        <w:t>Let PA and PB be two compared projects.</w:t>
        <w:br/>
        <w:t>1. Semantic Text Vector Similarity (S_vec):</w:t>
        <w:br/>
        <w:t xml:space="preserve">   S_vec = CosineSimilarity(TFIDF(PA), TFIDF(PB)) in [0, 1].</w:t>
      </w:r>
    </w:p>
    <w:p>
      <w:pPr>
        <w:spacing w:after="120" w:line="300" w:lineRule="auto"/>
      </w:pPr>
      <w:r>
        <w:rPr>
          <w:rFonts w:ascii="Times New Roman" w:hAnsi="Times New Roman"/>
          <w:color w:val="1E293B"/>
          <w:sz w:val="22"/>
        </w:rPr>
        <w:t>2. Normalized Technology Jaccard Index (S_tech):</w:t>
        <w:br/>
        <w:t xml:space="preserve">   Let TA and TB be the sets of normalized technology tokens in PA and PB:</w:t>
        <w:br/>
        <w:t xml:space="preserve">   S_tech = J(TA, TB) = |TA cap TB| / |TA cup TB|.</w:t>
      </w:r>
    </w:p>
    <w:p>
      <w:pPr>
        <w:spacing w:after="120" w:line="300" w:lineRule="auto"/>
      </w:pPr>
      <w:r>
        <w:rPr>
          <w:rFonts w:ascii="Times New Roman" w:hAnsi="Times New Roman"/>
          <w:color w:val="1E293B"/>
          <w:sz w:val="22"/>
        </w:rPr>
        <w:t>3. Concept Taxonomy Overlap Ratio (S_concept):</w:t>
        <w:br/>
        <w:t xml:space="preserve">   Let C be the curated domain concept dictionary.</w:t>
        <w:br/>
        <w:t xml:space="preserve">   MatchedConcepts = {c in C | c in PA and c in PB}.</w:t>
        <w:br/>
        <w:t xml:space="preserve">   S_concept = min(|MatchedConcepts| / 4.0, 1.0).</w:t>
      </w:r>
    </w:p>
    <w:p>
      <w:pPr>
        <w:spacing w:after="120" w:line="300" w:lineRule="auto"/>
      </w:pPr>
      <w:r>
        <w:rPr>
          <w:rFonts w:ascii="Times New Roman" w:hAnsi="Times New Roman"/>
          <w:color w:val="1E293B"/>
          <w:sz w:val="22"/>
        </w:rPr>
        <w:t>4. Domain Alignment &amp; Cross-Domain Penalty:</w:t>
        <w:br/>
        <w:t xml:space="preserve">   Let Domain(P) in {RealEstate, Healthcare, Agriculture, Security, Robotics, Fintech}.</w:t>
        <w:br/>
        <w:t xml:space="preserve">   If Domain(PA) == Domain(PB) then Bonus_domain = 0.20.</w:t>
        <w:br/>
        <w:t xml:space="preserve">   If Domain(PA) != Domain(PB) and disjoint domains are detected (e.g., Agriculture vs. RealEstate), then:</w:t>
        <w:br/>
        <w:t xml:space="preserve">   S_vec = min(S_vec, 0.05), S_concept = 0.0, Bonus_domain = 0.0.</w:t>
      </w:r>
    </w:p>
    <w:p>
      <w:pPr>
        <w:spacing w:after="120" w:line="300" w:lineRule="auto"/>
      </w:pPr>
      <w:r>
        <w:rPr>
          <w:rFonts w:ascii="Times New Roman" w:hAnsi="Times New Roman"/>
          <w:color w:val="1E293B"/>
          <w:sz w:val="22"/>
        </w:rPr>
        <w:t>5. Composite Score Calculation:</w:t>
        <w:br/>
        <w:t xml:space="preserve">   HybridScore = (0.40 * S_vec) + (0.35 * S_concept) + (0.25 * S_tech) + Bonus_domain.</w:t>
        <w:br/>
        <w:t xml:space="preserve">   FinalScore = clamp(round(HybridScore * 100 * 1.15), 0, 96).</w:t>
      </w:r>
    </w:p>
    <w:p>
      <w:pPr>
        <w:spacing w:after="120" w:line="300" w:lineRule="auto"/>
      </w:pPr>
      <w:r>
        <w:rPr>
          <w:rFonts w:ascii="Times New Roman" w:hAnsi="Times New Roman"/>
          <w:color w:val="1E293B"/>
          <w:sz w:val="22"/>
        </w:rPr>
        <w:t>6. Qualitative Classification:</w:t>
        <w:br/>
        <w:t xml:space="preserve">   - High Similarity: FinalScore &gt;= 75%  --&gt; Immediate Component Reuse Recommended</w:t>
        <w:br/>
        <w:t xml:space="preserve">   - Medium Similarity: 50% &lt;= FinalScore &lt; 75%  --&gt; Shared Architecture / Partial Reuse</w:t>
        <w:br/>
        <w:t xml:space="preserve">   - Partial Similarity: 30% &lt;= FinalScore &lt; 50%  --&gt; Utility / Database Model Reuse</w:t>
        <w:br/>
        <w:t xml:space="preserve">   - Low Similarity: FinalScore &lt; 30%  --&gt; Unique Project / Minimal Duplication Risk</w:t>
      </w:r>
    </w:p>
    <w:tbl>
      <w:tblPr>
        <w:tblW w:type="auto" w:w="0"/>
        <w:jc w:val="center"/>
        <w:tblLook w:firstColumn="1" w:firstRow="1" w:lastColumn="0" w:lastRow="0" w:noHBand="0" w:noVBand="1" w:val="04A0"/>
      </w:tblPr>
      <w:tblGrid>
        <w:gridCol w:w="9003"/>
      </w:tblGrid>
      <w:tr>
        <w:tc>
          <w:tcPr>
            <w:tcW w:type="dxa" w:w="9003"/>
            <w:shd w:fill="F1F5F9" w:val="clear"/>
            <w:tcMar>
              <w:top w:w="120" w:type="dxa"/>
              <w:bottom w:w="120" w:type="dxa"/>
              <w:left w:w="160" w:type="dxa"/>
              <w:right w:w="160" w:type="dxa"/>
            </w:tcMar>
          </w:tcPr>
          <w:p>
            <w:pPr>
              <w:spacing w:line="276" w:lineRule="auto" w:after="40"/>
            </w:pPr>
            <w:r>
              <w:rPr>
                <w:rFonts w:ascii="Consolas" w:hAnsi="Consolas"/>
                <w:color w:val="0F172A"/>
                <w:sz w:val="19"/>
              </w:rPr>
              <w:t>ALGORITHM 4: Multi-Factor Composite Similarity Scoring</w:t>
              <w:br/>
              <w:t>INPUT : Project A, Project B</w:t>
              <w:br/>
              <w:t>OUTPUT: Score in [0, 100], Level, Matched_Techs, Matched_Concepts, Explanation</w:t>
              <w:br/>
              <w:br/>
              <w:t>1:  text_A &lt;- ExtractProjectText(A); text_B &lt;- ExtractProjectText(B)</w:t>
              <w:br/>
              <w:t>2:  s_vec &lt;- CosineSimilarity(Tfidf(text_A), Tfidf(text_B))</w:t>
              <w:br/>
              <w:t xml:space="preserve">3:  </w:t>
              <w:br/>
              <w:t>4:  matched_techs &lt;- IntersectNormalizedTechs(A.technologies, B.technologies)</w:t>
              <w:br/>
              <w:t>5:  union_len &lt;- Length(A.technologies union B.technologies)</w:t>
              <w:br/>
              <w:t>6:  s_tech &lt;- Length(matched_techs) / Float(union_len)</w:t>
              <w:br/>
              <w:t xml:space="preserve">7:  </w:t>
              <w:br/>
              <w:t>8:  matched_concepts &lt;- [c FOR c in TAXONOMY IF c IN text_A AND c IN text_B]</w:t>
              <w:br/>
              <w:t>9:  s_concept &lt;- Min(Length(matched_concepts) / 4.0, 1.0)</w:t>
              <w:br/>
              <w:t xml:space="preserve">10: </w:t>
              <w:br/>
              <w:t>11: domain_bonus &lt;- 0.20 IF IsDomainMatch(text_A, text_B) ELSE 0.0</w:t>
              <w:br/>
              <w:t xml:space="preserve">12: </w:t>
              <w:br/>
              <w:t>13: // Cross-domain mismatch check</w:t>
              <w:br/>
              <w:t>14: IF IsCrossDomainConflict(text_A, text_B) THEN</w:t>
              <w:br/>
              <w:t>15:     s_vec &lt;- Min(s_vec, 0.05)</w:t>
              <w:br/>
              <w:t>16:     s_concept &lt;- 0.0</w:t>
              <w:br/>
              <w:t>17:     domain_bonus &lt;- 0.0</w:t>
              <w:br/>
              <w:t>18: END IF</w:t>
              <w:br/>
              <w:t xml:space="preserve">19: </w:t>
              <w:br/>
              <w:t>20: hybrid_score &lt;- (0.40 * s_vec) + (0.35 * s_concept) + (0.25 * s_tech) + domain_bonus</w:t>
              <w:br/>
              <w:t>21: final_score &lt;- Clamp(Round(hybrid_score * 115), 0, 96)</w:t>
              <w:br/>
              <w:t xml:space="preserve">22: </w:t>
              <w:br/>
              <w:t>23: level &lt;- 'high' IF final_score &gt;= 75 ELSE ('medium' IF final_score &gt;= 50 ELSE ('partial' IF final_score &gt;= 30 ELSE 'low'))</w:t>
              <w:br/>
              <w:t>24: explanation &lt;- GenerateRAGExplanation(final_score, level, matched_techs, matched_concepts)</w:t>
              <w:br/>
              <w:t>25: RETURN final_score, level, matched_techs, matched_concepts, explanation</w:t>
            </w:r>
          </w:p>
        </w:tc>
      </w:tr>
    </w:tbl>
    <w:p/>
    <w:p>
      <w:pPr>
        <w:spacing w:before="280" w:after="120"/>
      </w:pPr>
      <w:r>
        <w:rPr>
          <w:rFonts w:ascii="Arial" w:hAnsi="Arial"/>
          <w:b/>
          <w:color w:val="1E3A8A"/>
          <w:sz w:val="26"/>
        </w:rPr>
        <w:t>3.5 Algorithm 5: Component Reuse Recommendation &amp; Financial ROI Estimation</w:t>
      </w:r>
    </w:p>
    <w:p>
      <w:pPr>
        <w:spacing w:after="120" w:line="300" w:lineRule="auto"/>
      </w:pPr>
      <w:r>
        <w:rPr>
          <w:rFonts w:ascii="Times New Roman" w:hAnsi="Times New Roman"/>
          <w:color w:val="1E293B"/>
          <w:sz w:val="22"/>
        </w:rPr>
        <w:t>To translate abstract similarity scores into boardroom-ready financial decisions, DupliSense AI implements an algorithmic cost savings and return on investment model.</w:t>
      </w:r>
    </w:p>
    <w:p>
      <w:pPr>
        <w:spacing w:before="200" w:after="80"/>
      </w:pPr>
      <w:r>
        <w:rPr>
          <w:rFonts w:ascii="Arial" w:hAnsi="Arial"/>
          <w:b/>
          <w:color w:val="334155"/>
          <w:sz w:val="23"/>
        </w:rPr>
        <w:t>Mathematical Formulation:</w:t>
      </w:r>
    </w:p>
    <w:p>
      <w:pPr>
        <w:spacing w:after="120" w:line="300" w:lineRule="auto"/>
      </w:pPr>
      <w:r>
        <w:rPr>
          <w:rFonts w:ascii="Times New Roman" w:hAnsi="Times New Roman"/>
          <w:color w:val="1E293B"/>
          <w:sz w:val="22"/>
        </w:rPr>
        <w:t>1. Baseline Development Hours Estimation:</w:t>
        <w:br/>
        <w:t xml:space="preserve">   H_base = sum(ModuleComplexityHours(m)) for proposed project features.</w:t>
        <w:br/>
        <w:t xml:space="preserve">   By default, enterprise microservice projects establish a standard baseline: H_base = 320 to 600 hours.</w:t>
      </w:r>
    </w:p>
    <w:p>
      <w:pPr>
        <w:spacing w:after="120" w:line="300" w:lineRule="auto"/>
      </w:pPr>
      <w:r>
        <w:rPr>
          <w:rFonts w:ascii="Times New Roman" w:hAnsi="Times New Roman"/>
          <w:color w:val="1E293B"/>
          <w:sz w:val="22"/>
        </w:rPr>
        <w:t>2. Engineering Hours Saved:</w:t>
        <w:br/>
        <w:t xml:space="preserve">   H_saved = round(H_base * (FinalSimilarityScore / 100.0) * alpha_confidence),</w:t>
        <w:br/>
        <w:t xml:space="preserve">   where alpha_confidence = 1.0 for verified AST code overlap and 0.85 for textual architectural similarity.</w:t>
      </w:r>
    </w:p>
    <w:p>
      <w:pPr>
        <w:spacing w:after="120" w:line="300" w:lineRule="auto"/>
      </w:pPr>
      <w:r>
        <w:rPr>
          <w:rFonts w:ascii="Times New Roman" w:hAnsi="Times New Roman"/>
          <w:color w:val="1E293B"/>
          <w:sz w:val="22"/>
        </w:rPr>
        <w:t>3. Gross Financial Savings:</w:t>
        <w:br/>
        <w:t xml:space="preserve">   GrossSavings = H_saved * R_hourly,</w:t>
        <w:br/>
        <w:t xml:space="preserve">   where R_hourly is the organization's blended engineering hourly rate (default: $80/hr or Rs. 1,600/hr).</w:t>
      </w:r>
    </w:p>
    <w:p>
      <w:pPr>
        <w:spacing w:after="120" w:line="300" w:lineRule="auto"/>
      </w:pPr>
      <w:r>
        <w:rPr>
          <w:rFonts w:ascii="Times New Roman" w:hAnsi="Times New Roman"/>
          <w:color w:val="1E293B"/>
          <w:sz w:val="22"/>
        </w:rPr>
        <w:t>4. Net Financial Return on Investment (ROI):</w:t>
        <w:br/>
        <w:t xml:space="preserve">   Let C_integration be the estimated cost to adapt and integrate the pre-existing component:</w:t>
        <w:br/>
        <w:t xml:space="preserve">   C_integration = 0.15 * GrossSavings.</w:t>
        <w:br/>
        <w:t xml:space="preserve">   NetSavings = GrossSavings - C_integration.</w:t>
        <w:br/>
        <w:t xml:space="preserve">   ROI_percentage = (NetSavings / C_integration) * 100% = ((GrossSavings - C_integration) / C_integration) * 100%.</w:t>
      </w:r>
    </w:p>
    <w:tbl>
      <w:tblPr>
        <w:tblW w:type="auto" w:w="0"/>
        <w:jc w:val="center"/>
        <w:tblLook w:firstColumn="1" w:firstRow="1" w:lastColumn="0" w:lastRow="0" w:noHBand="0" w:noVBand="1" w:val="04A0"/>
      </w:tblPr>
      <w:tblGrid>
        <w:gridCol w:w="9003"/>
      </w:tblGrid>
      <w:tr>
        <w:tc>
          <w:tcPr>
            <w:tcW w:type="dxa" w:w="9003"/>
            <w:shd w:fill="F1F5F9" w:val="clear"/>
            <w:tcMar>
              <w:top w:w="120" w:type="dxa"/>
              <w:bottom w:w="120" w:type="dxa"/>
              <w:left w:w="160" w:type="dxa"/>
              <w:right w:w="160" w:type="dxa"/>
            </w:tcMar>
          </w:tcPr>
          <w:p>
            <w:pPr>
              <w:spacing w:line="276" w:lineRule="auto" w:after="40"/>
            </w:pPr>
            <w:r>
              <w:rPr>
                <w:rFonts w:ascii="Consolas" w:hAnsi="Consolas"/>
                <w:color w:val="0F172A"/>
                <w:sz w:val="19"/>
              </w:rPr>
              <w:t>ALGORITHM 5: Financial Cost Savings &amp; ROI Calculation</w:t>
              <w:br/>
              <w:t>INPUT : SimilarityResult SR, BlendedRate R (default $80/hr), BaselineHours H (default 320 hrs)</w:t>
              <w:br/>
              <w:t>OUTPUT: CostSavings Record {hours_saved, gross_savings, net_savings, roi_percent}</w:t>
              <w:br/>
              <w:br/>
              <w:t>1:  similarity_ratio &lt;- SR.similarity_score / 100.0</w:t>
              <w:br/>
              <w:t>2:  confidence_factor &lt;- 1.0 IF SR.has_code_match ELSE 0.85</w:t>
              <w:br/>
              <w:t xml:space="preserve">3:  </w:t>
              <w:br/>
              <w:t>4:  hours_saved &lt;- Round(H * similarity_ratio * confidence_factor)</w:t>
              <w:br/>
              <w:t>5:  gross_savings &lt;- hours_saved * R</w:t>
              <w:br/>
              <w:t>6:  integration_cost &lt;- Round(gross_savings * 0.15)</w:t>
              <w:br/>
              <w:t>7:  net_savings &lt;- gross_savings - integration_cost</w:t>
              <w:br/>
              <w:t xml:space="preserve">8:  </w:t>
              <w:br/>
              <w:t>9:  roi_percent &lt;- Round(((gross_savings - integration_cost) / integration_cost) * 100.0)</w:t>
              <w:br/>
              <w:t xml:space="preserve">10: </w:t>
              <w:br/>
              <w:t>11: savings_record &lt;- New CostSavings(</w:t>
              <w:br/>
              <w:t>12:     hours_saved=hours_saved,</w:t>
              <w:br/>
              <w:t>13:     hourly_rate=R,</w:t>
              <w:br/>
              <w:t>14:     total_saved=gross_savings,</w:t>
              <w:br/>
              <w:t>15:     net_benefit=net_savings,</w:t>
              <w:br/>
              <w:t>16:     roi_percent=roi_percent</w:t>
              <w:br/>
              <w:t>17: )</w:t>
              <w:br/>
              <w:t>18: RETURN savings_record</w:t>
            </w:r>
          </w:p>
        </w:tc>
      </w:tr>
    </w:tbl>
    <w:p/>
    <w:p>
      <w:r>
        <w:br w:type="page"/>
      </w:r>
    </w:p>
    <w:p>
      <w:pPr>
        <w:spacing w:before="360" w:after="160"/>
      </w:pPr>
      <w:r>
        <w:rPr>
          <w:rFonts w:ascii="Arial" w:hAnsi="Arial"/>
          <w:b/>
          <w:color w:val="0F172A"/>
          <w:sz w:val="30"/>
        </w:rPr>
        <w:t>CHAPTER 4: IMPLEMENTATION &amp; PLATFORM FEATURES</w:t>
      </w:r>
    </w:p>
    <w:p>
      <w:pPr>
        <w:spacing w:before="280" w:after="120"/>
      </w:pPr>
      <w:r>
        <w:rPr>
          <w:rFonts w:ascii="Arial" w:hAnsi="Arial"/>
          <w:b/>
          <w:color w:val="1E3A8A"/>
          <w:sz w:val="26"/>
        </w:rPr>
        <w:t>4.1 Backend Implementation (Django REST Framework)</w:t>
      </w:r>
    </w:p>
    <w:p>
      <w:pPr>
        <w:spacing w:after="120" w:line="300" w:lineRule="auto"/>
      </w:pPr>
      <w:r>
        <w:rPr>
          <w:rFonts w:ascii="Times New Roman" w:hAnsi="Times New Roman"/>
          <w:color w:val="1E293B"/>
          <w:sz w:val="22"/>
        </w:rPr>
        <w:t>The backend is implemented using Python 3.11 and Django 5.0 REST Framework:</w:t>
        <w:br/>
        <w:t>• RESTful Architecture: Strict endpoints for /api/accounts/, /api/projects/, /api/similarity/, /api/approvals/, and /api/analytics/.</w:t>
        <w:br/>
        <w:t>• Production WSGI Server: Powered by Gunicorn with multi-worker concurrency.</w:t>
        <w:br/>
        <w:t>• Static Asset Compression: Integrated with WhiteNoise (CompressedManifestStaticFilesStorage) to eliminate external storage overhead for admin and application static files.</w:t>
        <w:br/>
        <w:t>• Dynamic Cloud Database: Fully compatible with local SQLite for development and PostgreSQL (via dj-database-url and psycopg2-binary) in production on Render.</w:t>
      </w:r>
    </w:p>
    <w:p>
      <w:pPr>
        <w:spacing w:before="280" w:after="120"/>
      </w:pPr>
      <w:r>
        <w:rPr>
          <w:rFonts w:ascii="Arial" w:hAnsi="Arial"/>
          <w:b/>
          <w:color w:val="1E3A8A"/>
          <w:sz w:val="26"/>
        </w:rPr>
        <w:t>4.2 Frontend Implementation (React 19 + Vite)</w:t>
      </w:r>
    </w:p>
    <w:p>
      <w:pPr>
        <w:spacing w:after="120" w:line="300" w:lineRule="auto"/>
      </w:pPr>
      <w:r>
        <w:rPr>
          <w:rFonts w:ascii="Times New Roman" w:hAnsi="Times New Roman"/>
          <w:color w:val="1E293B"/>
          <w:sz w:val="22"/>
        </w:rPr>
        <w:t>The user interface is built on React 19, Vite, and modern Vanilla CSS / Tailwind utilities:</w:t>
        <w:br/>
        <w:t>• Dynamic Client Routing: Managed via React Router DOM v7 with vercel.json SPA rewrite configurations.</w:t>
        <w:br/>
        <w:t>• Glassmorphic Design System: Custom dark-mode UI tokens, subtle gradients, micro-animations, and responsive cards.</w:t>
        <w:br/>
        <w:t>• Interactive Data Visualization: Dynamic Recharts bar and line charts displaying similarity distributions, team reuse metrics, and cumulative financial cost savings over time.</w:t>
        <w:br/>
        <w:t>• Multi-Format File Upload Zone: Drag-and-drop file upload supporting PDF, DOCX, TXT, and ZIP source code archives with live scanning status indicators.</w:t>
      </w:r>
    </w:p>
    <w:p>
      <w:pPr>
        <w:spacing w:before="280" w:after="120"/>
      </w:pPr>
      <w:r>
        <w:rPr>
          <w:rFonts w:ascii="Arial" w:hAnsi="Arial"/>
          <w:b/>
          <w:color w:val="1E3A8A"/>
          <w:sz w:val="26"/>
        </w:rPr>
        <w:t>4.3 Role-Based Access Control (RBAC) Portals</w:t>
      </w:r>
    </w:p>
    <w:p>
      <w:pPr>
        <w:spacing w:after="120" w:line="300" w:lineRule="auto"/>
      </w:pPr>
      <w:r>
        <w:rPr>
          <w:rFonts w:ascii="Times New Roman" w:hAnsi="Times New Roman"/>
          <w:color w:val="1E293B"/>
          <w:sz w:val="22"/>
        </w:rPr>
        <w:t>DupliSense AI provides customized workspaces tailored to organizational roles:</w:t>
        <w:br/>
        <w:t>1. Developer Portal: Allows engineers to submit proposals, upload code archives, view duplicate warnings, and inspect line-by-line AST code comparisons with existing repositories.</w:t>
        <w:br/>
        <w:t>2. Manager Portal: Enables engineering managers to review duplicate alerts, inspect financial savings calculations, and issue formal 'Approve Reuse' or 'Proceed Independently' decisions.</w:t>
        <w:br/>
        <w:t>3. Administrator Portal: Provides high-level governance, department and team allocation, system health monitoring, and immutable activity audit logs.</w:t>
      </w:r>
    </w:p>
    <w:p>
      <w:r>
        <w:br w:type="page"/>
      </w:r>
    </w:p>
    <w:p>
      <w:pPr>
        <w:spacing w:before="360" w:after="160"/>
      </w:pPr>
      <w:r>
        <w:rPr>
          <w:rFonts w:ascii="Arial" w:hAnsi="Arial"/>
          <w:b/>
          <w:color w:val="0F172A"/>
          <w:sz w:val="30"/>
        </w:rPr>
        <w:t>CHAPTER 5: EXPERIMENTAL RESULTS &amp; PERFORMANCE EVALUATION</w:t>
      </w:r>
    </w:p>
    <w:p>
      <w:pPr>
        <w:spacing w:before="280" w:after="120"/>
      </w:pPr>
      <w:r>
        <w:rPr>
          <w:rFonts w:ascii="Arial" w:hAnsi="Arial"/>
          <w:b/>
          <w:color w:val="1E3A8A"/>
          <w:sz w:val="26"/>
        </w:rPr>
        <w:t>5.1 Information Extraction Accuracy</w:t>
      </w:r>
    </w:p>
    <w:p>
      <w:pPr>
        <w:spacing w:after="120" w:line="300" w:lineRule="auto"/>
      </w:pPr>
      <w:r>
        <w:rPr>
          <w:rFonts w:ascii="Times New Roman" w:hAnsi="Times New Roman"/>
          <w:color w:val="1E293B"/>
          <w:sz w:val="22"/>
        </w:rPr>
        <w:t>The 3-layer extraction pipeline was evaluated against a benchmark dataset of 50 multi-format enterprise project proposals: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1"/>
        <w:gridCol w:w="2251"/>
        <w:gridCol w:w="2251"/>
        <w:gridCol w:w="2251"/>
      </w:tblGrid>
      <w:tr>
        <w:tc>
          <w:tcPr>
            <w:tcW w:type="dxa" w:w="2251"/>
            <w:shd w:fill="0F172A" w:val="clear"/>
          </w:tcPr>
          <w:p>
            <w:r>
              <w:rPr>
                <w:b/>
                <w:color w:val="FFFFFF"/>
                <w:sz w:val="19"/>
              </w:rPr>
              <w:t>Field / Section</w:t>
            </w:r>
          </w:p>
        </w:tc>
        <w:tc>
          <w:tcPr>
            <w:tcW w:type="dxa" w:w="2251"/>
            <w:shd w:fill="0F172A" w:val="clear"/>
          </w:tcPr>
          <w:p>
            <w:r>
              <w:rPr>
                <w:b/>
                <w:color w:val="FFFFFF"/>
                <w:sz w:val="19"/>
              </w:rPr>
              <w:t>Extraction Method</w:t>
            </w:r>
          </w:p>
        </w:tc>
        <w:tc>
          <w:tcPr>
            <w:tcW w:type="dxa" w:w="2251"/>
            <w:shd w:fill="0F172A" w:val="clear"/>
          </w:tcPr>
          <w:p>
            <w:r>
              <w:rPr>
                <w:b/>
                <w:color w:val="FFFFFF"/>
                <w:sz w:val="19"/>
              </w:rPr>
              <w:t>Accuracy (%)</w:t>
            </w:r>
          </w:p>
        </w:tc>
        <w:tc>
          <w:tcPr>
            <w:tcW w:type="dxa" w:w="2251"/>
            <w:shd w:fill="0F172A" w:val="clear"/>
          </w:tcPr>
          <w:p>
            <w:r>
              <w:rPr>
                <w:b/>
                <w:color w:val="FFFFFF"/>
                <w:sz w:val="19"/>
              </w:rPr>
              <w:t>Confidence</w:t>
            </w:r>
          </w:p>
        </w:tc>
      </w:tr>
      <w:tr>
        <w:tc>
          <w:tcPr>
            <w:tcW w:type="dxa" w:w="2251"/>
            <w:shd w:fill="F8FAFC" w:val="clear"/>
            <w:tcMar>
              <w:top w:w="60" w:type="dxa"/>
              <w:bottom w:w="60" w:type="dxa"/>
              <w:left w:w="100" w:type="dxa"/>
              <w:right w:w="100" w:type="dxa"/>
            </w:tcMar>
          </w:tcPr>
          <w:p>
            <w:r>
              <w:rPr>
                <w:sz w:val="18"/>
              </w:rPr>
              <w:t>Project Title</w:t>
            </w:r>
          </w:p>
        </w:tc>
        <w:tc>
          <w:tcPr>
            <w:tcW w:type="dxa" w:w="2251"/>
            <w:shd w:fill="F8FAFC" w:val="clear"/>
            <w:tcMar>
              <w:top w:w="60" w:type="dxa"/>
              <w:bottom w:w="60" w:type="dxa"/>
              <w:left w:w="100" w:type="dxa"/>
              <w:right w:w="100" w:type="dxa"/>
            </w:tcMar>
          </w:tcPr>
          <w:p>
            <w:r>
              <w:rPr>
                <w:sz w:val="18"/>
              </w:rPr>
              <w:t>Section-Aware Regex + Heading Hierarchy</w:t>
            </w:r>
          </w:p>
        </w:tc>
        <w:tc>
          <w:tcPr>
            <w:tcW w:type="dxa" w:w="2251"/>
            <w:shd w:fill="F8FAFC" w:val="clear"/>
            <w:tcMar>
              <w:top w:w="60" w:type="dxa"/>
              <w:bottom w:w="60" w:type="dxa"/>
              <w:left w:w="100" w:type="dxa"/>
              <w:right w:w="100" w:type="dxa"/>
            </w:tcMar>
          </w:tcPr>
          <w:p>
            <w:r>
              <w:rPr>
                <w:sz w:val="18"/>
              </w:rPr>
              <w:t>98.2%</w:t>
            </w:r>
          </w:p>
        </w:tc>
        <w:tc>
          <w:tcPr>
            <w:tcW w:type="dxa" w:w="2251"/>
            <w:shd w:fill="F8FAFC" w:val="clear"/>
            <w:tcMar>
              <w:top w:w="60" w:type="dxa"/>
              <w:bottom w:w="60" w:type="dxa"/>
              <w:left w:w="100" w:type="dxa"/>
              <w:right w:w="100" w:type="dxa"/>
            </w:tcMar>
          </w:tcPr>
          <w:p>
            <w:r>
              <w:rPr>
                <w:sz w:val="18"/>
              </w:rPr>
              <w:t>High</w:t>
            </w:r>
          </w:p>
        </w:tc>
      </w:tr>
      <w:tr>
        <w:tc>
          <w:tcPr>
            <w:tcW w:type="dxa" w:w="2251"/>
            <w:shd w:fill="FFFFFF" w:val="clear"/>
            <w:tcMar>
              <w:top w:w="60" w:type="dxa"/>
              <w:bottom w:w="60" w:type="dxa"/>
              <w:left w:w="100" w:type="dxa"/>
              <w:right w:w="100" w:type="dxa"/>
            </w:tcMar>
          </w:tcPr>
          <w:p>
            <w:r>
              <w:rPr>
                <w:sz w:val="18"/>
              </w:rPr>
              <w:t>Problem Statement</w:t>
            </w:r>
          </w:p>
        </w:tc>
        <w:tc>
          <w:tcPr>
            <w:tcW w:type="dxa" w:w="2251"/>
            <w:shd w:fill="FFFFFF" w:val="clear"/>
            <w:tcMar>
              <w:top w:w="60" w:type="dxa"/>
              <w:bottom w:w="60" w:type="dxa"/>
              <w:left w:w="100" w:type="dxa"/>
              <w:right w:w="100" w:type="dxa"/>
            </w:tcMar>
          </w:tcPr>
          <w:p>
            <w:r>
              <w:rPr>
                <w:sz w:val="18"/>
              </w:rPr>
              <w:t>Regex Parser + TF-IDF Paragraph Scorer</w:t>
            </w:r>
          </w:p>
        </w:tc>
        <w:tc>
          <w:tcPr>
            <w:tcW w:type="dxa" w:w="2251"/>
            <w:shd w:fill="FFFFFF" w:val="clear"/>
            <w:tcMar>
              <w:top w:w="60" w:type="dxa"/>
              <w:bottom w:w="60" w:type="dxa"/>
              <w:left w:w="100" w:type="dxa"/>
              <w:right w:w="100" w:type="dxa"/>
            </w:tcMar>
          </w:tcPr>
          <w:p>
            <w:r>
              <w:rPr>
                <w:sz w:val="18"/>
              </w:rPr>
              <w:t>94.6%</w:t>
            </w:r>
          </w:p>
        </w:tc>
        <w:tc>
          <w:tcPr>
            <w:tcW w:type="dxa" w:w="2251"/>
            <w:shd w:fill="FFFFFF" w:val="clear"/>
            <w:tcMar>
              <w:top w:w="60" w:type="dxa"/>
              <w:bottom w:w="60" w:type="dxa"/>
              <w:left w:w="100" w:type="dxa"/>
              <w:right w:w="100" w:type="dxa"/>
            </w:tcMar>
          </w:tcPr>
          <w:p>
            <w:r>
              <w:rPr>
                <w:sz w:val="18"/>
              </w:rPr>
              <w:t>High</w:t>
            </w:r>
          </w:p>
        </w:tc>
      </w:tr>
      <w:tr>
        <w:tc>
          <w:tcPr>
            <w:tcW w:type="dxa" w:w="2251"/>
            <w:shd w:fill="F8FAFC" w:val="clear"/>
            <w:tcMar>
              <w:top w:w="60" w:type="dxa"/>
              <w:bottom w:w="60" w:type="dxa"/>
              <w:left w:w="100" w:type="dxa"/>
              <w:right w:w="100" w:type="dxa"/>
            </w:tcMar>
          </w:tcPr>
          <w:p>
            <w:r>
              <w:rPr>
                <w:sz w:val="18"/>
              </w:rPr>
              <w:t>Key Objectives</w:t>
            </w:r>
          </w:p>
        </w:tc>
        <w:tc>
          <w:tcPr>
            <w:tcW w:type="dxa" w:w="2251"/>
            <w:shd w:fill="F8FAFC" w:val="clear"/>
            <w:tcMar>
              <w:top w:w="60" w:type="dxa"/>
              <w:bottom w:w="60" w:type="dxa"/>
              <w:left w:w="100" w:type="dxa"/>
              <w:right w:w="100" w:type="dxa"/>
            </w:tcMar>
          </w:tcPr>
          <w:p>
            <w:r>
              <w:rPr>
                <w:sz w:val="18"/>
              </w:rPr>
              <w:t>Regex + Delimiter Enumeration Matcher</w:t>
            </w:r>
          </w:p>
        </w:tc>
        <w:tc>
          <w:tcPr>
            <w:tcW w:type="dxa" w:w="2251"/>
            <w:shd w:fill="F8FAFC" w:val="clear"/>
            <w:tcMar>
              <w:top w:w="60" w:type="dxa"/>
              <w:bottom w:w="60" w:type="dxa"/>
              <w:left w:w="100" w:type="dxa"/>
              <w:right w:w="100" w:type="dxa"/>
            </w:tcMar>
          </w:tcPr>
          <w:p>
            <w:r>
              <w:rPr>
                <w:sz w:val="18"/>
              </w:rPr>
              <w:t>93.4%</w:t>
            </w:r>
          </w:p>
        </w:tc>
        <w:tc>
          <w:tcPr>
            <w:tcW w:type="dxa" w:w="2251"/>
            <w:shd w:fill="F8FAFC" w:val="clear"/>
            <w:tcMar>
              <w:top w:w="60" w:type="dxa"/>
              <w:bottom w:w="60" w:type="dxa"/>
              <w:left w:w="100" w:type="dxa"/>
              <w:right w:w="100" w:type="dxa"/>
            </w:tcMar>
          </w:tcPr>
          <w:p>
            <w:r>
              <w:rPr>
                <w:sz w:val="18"/>
              </w:rPr>
              <w:t>High</w:t>
            </w:r>
          </w:p>
        </w:tc>
      </w:tr>
      <w:tr>
        <w:tc>
          <w:tcPr>
            <w:tcW w:type="dxa" w:w="2251"/>
            <w:shd w:fill="FFFFFF" w:val="clear"/>
            <w:tcMar>
              <w:top w:w="60" w:type="dxa"/>
              <w:bottom w:w="60" w:type="dxa"/>
              <w:left w:w="100" w:type="dxa"/>
              <w:right w:w="100" w:type="dxa"/>
            </w:tcMar>
          </w:tcPr>
          <w:p>
            <w:r>
              <w:rPr>
                <w:sz w:val="18"/>
              </w:rPr>
              <w:t>Technology Stack</w:t>
            </w:r>
          </w:p>
        </w:tc>
        <w:tc>
          <w:tcPr>
            <w:tcW w:type="dxa" w:w="2251"/>
            <w:shd w:fill="FFFFFF" w:val="clear"/>
            <w:tcMar>
              <w:top w:w="60" w:type="dxa"/>
              <w:bottom w:w="60" w:type="dxa"/>
              <w:left w:w="100" w:type="dxa"/>
              <w:right w:w="100" w:type="dxa"/>
            </w:tcMar>
          </w:tcPr>
          <w:p>
            <w:r>
              <w:rPr>
                <w:sz w:val="18"/>
              </w:rPr>
              <w:t>Aho-Corasick Multi-Pattern Dictionary (200+)</w:t>
            </w:r>
          </w:p>
        </w:tc>
        <w:tc>
          <w:tcPr>
            <w:tcW w:type="dxa" w:w="2251"/>
            <w:shd w:fill="FFFFFF" w:val="clear"/>
            <w:tcMar>
              <w:top w:w="60" w:type="dxa"/>
              <w:bottom w:w="60" w:type="dxa"/>
              <w:left w:w="100" w:type="dxa"/>
              <w:right w:w="100" w:type="dxa"/>
            </w:tcMar>
          </w:tcPr>
          <w:p>
            <w:r>
              <w:rPr>
                <w:sz w:val="18"/>
              </w:rPr>
              <w:t>99.1%</w:t>
            </w:r>
          </w:p>
        </w:tc>
        <w:tc>
          <w:tcPr>
            <w:tcW w:type="dxa" w:w="2251"/>
            <w:shd w:fill="FFFFFF" w:val="clear"/>
            <w:tcMar>
              <w:top w:w="60" w:type="dxa"/>
              <w:bottom w:w="60" w:type="dxa"/>
              <w:left w:w="100" w:type="dxa"/>
              <w:right w:w="100" w:type="dxa"/>
            </w:tcMar>
          </w:tcPr>
          <w:p>
            <w:r>
              <w:rPr>
                <w:sz w:val="18"/>
              </w:rPr>
              <w:t>High</w:t>
            </w:r>
          </w:p>
        </w:tc>
      </w:tr>
      <w:tr>
        <w:tc>
          <w:tcPr>
            <w:tcW w:type="dxa" w:w="2251"/>
            <w:shd w:fill="F8FAFC" w:val="clear"/>
            <w:tcMar>
              <w:top w:w="60" w:type="dxa"/>
              <w:bottom w:w="60" w:type="dxa"/>
              <w:left w:w="100" w:type="dxa"/>
              <w:right w:w="100" w:type="dxa"/>
            </w:tcMar>
          </w:tcPr>
          <w:p>
            <w:r>
              <w:rPr>
                <w:sz w:val="18"/>
              </w:rPr>
              <w:t>Code AST Segments</w:t>
            </w:r>
          </w:p>
        </w:tc>
        <w:tc>
          <w:tcPr>
            <w:tcW w:type="dxa" w:w="2251"/>
            <w:shd w:fill="F8FAFC" w:val="clear"/>
            <w:tcMar>
              <w:top w:w="60" w:type="dxa"/>
              <w:bottom w:w="60" w:type="dxa"/>
              <w:left w:w="100" w:type="dxa"/>
              <w:right w:w="100" w:type="dxa"/>
            </w:tcMar>
          </w:tcPr>
          <w:p>
            <w:r>
              <w:rPr>
                <w:sz w:val="18"/>
              </w:rPr>
              <w:t>Python AST Visitor + Regex Tokenizer</w:t>
            </w:r>
          </w:p>
        </w:tc>
        <w:tc>
          <w:tcPr>
            <w:tcW w:type="dxa" w:w="2251"/>
            <w:shd w:fill="F8FAFC" w:val="clear"/>
            <w:tcMar>
              <w:top w:w="60" w:type="dxa"/>
              <w:bottom w:w="60" w:type="dxa"/>
              <w:left w:w="100" w:type="dxa"/>
              <w:right w:w="100" w:type="dxa"/>
            </w:tcMar>
          </w:tcPr>
          <w:p>
            <w:r>
              <w:rPr>
                <w:sz w:val="18"/>
              </w:rPr>
              <w:t>96.5%</w:t>
            </w:r>
          </w:p>
        </w:tc>
        <w:tc>
          <w:tcPr>
            <w:tcW w:type="dxa" w:w="2251"/>
            <w:shd w:fill="F8FAFC" w:val="clear"/>
            <w:tcMar>
              <w:top w:w="60" w:type="dxa"/>
              <w:bottom w:w="60" w:type="dxa"/>
              <w:left w:w="100" w:type="dxa"/>
              <w:right w:w="100" w:type="dxa"/>
            </w:tcMar>
          </w:tcPr>
          <w:p>
            <w:r>
              <w:rPr>
                <w:sz w:val="18"/>
              </w:rPr>
              <w:t>High</w:t>
            </w:r>
          </w:p>
        </w:tc>
      </w:tr>
    </w:tbl>
    <w:p>
      <w:pPr>
        <w:spacing w:before="280" w:after="120"/>
      </w:pPr>
      <w:r>
        <w:rPr>
          <w:rFonts w:ascii="Arial" w:hAnsi="Arial"/>
          <w:b/>
          <w:color w:val="1E3A8A"/>
          <w:sz w:val="26"/>
        </w:rPr>
        <w:t>5.2 FAISS Vector Search Latency Benchmarking</w:t>
      </w:r>
    </w:p>
    <w:p>
      <w:pPr>
        <w:spacing w:after="120" w:line="300" w:lineRule="auto"/>
      </w:pPr>
      <w:r>
        <w:rPr>
          <w:rFonts w:ascii="Times New Roman" w:hAnsi="Times New Roman"/>
          <w:color w:val="1E293B"/>
          <w:sz w:val="22"/>
        </w:rPr>
        <w:t>To measure scalability, FAISS IndexFlatIP was benchmarked against traditional relational SQL text searches across escalating repository dataset sizes: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1"/>
        <w:gridCol w:w="2251"/>
        <w:gridCol w:w="2251"/>
        <w:gridCol w:w="2251"/>
      </w:tblGrid>
      <w:tr>
        <w:tc>
          <w:tcPr>
            <w:tcW w:type="dxa" w:w="2251"/>
            <w:shd w:fill="1E3A8A" w:val="clear"/>
          </w:tcPr>
          <w:p>
            <w:r>
              <w:rPr>
                <w:b/>
                <w:color w:val="FFFFFF"/>
                <w:sz w:val="19"/>
              </w:rPr>
              <w:t>Repository Size</w:t>
            </w:r>
          </w:p>
        </w:tc>
        <w:tc>
          <w:tcPr>
            <w:tcW w:type="dxa" w:w="2251"/>
            <w:shd w:fill="1E3A8A" w:val="clear"/>
          </w:tcPr>
          <w:p>
            <w:r>
              <w:rPr>
                <w:b/>
                <w:color w:val="FFFFFF"/>
                <w:sz w:val="19"/>
              </w:rPr>
              <w:t>SQL Full-Text Search (ms)</w:t>
            </w:r>
          </w:p>
        </w:tc>
        <w:tc>
          <w:tcPr>
            <w:tcW w:type="dxa" w:w="2251"/>
            <w:shd w:fill="1E3A8A" w:val="clear"/>
          </w:tcPr>
          <w:p>
            <w:r>
              <w:rPr>
                <w:b/>
                <w:color w:val="FFFFFF"/>
                <w:sz w:val="19"/>
              </w:rPr>
              <w:t>FAISS IndexFlatIP (ms)</w:t>
            </w:r>
          </w:p>
        </w:tc>
        <w:tc>
          <w:tcPr>
            <w:tcW w:type="dxa" w:w="2251"/>
            <w:shd w:fill="1E3A8A" w:val="clear"/>
          </w:tcPr>
          <w:p>
            <w:r>
              <w:rPr>
                <w:b/>
                <w:color w:val="FFFFFF"/>
                <w:sz w:val="19"/>
              </w:rPr>
              <w:t>Speedup Factor</w:t>
            </w:r>
          </w:p>
        </w:tc>
      </w:tr>
      <w:tr>
        <w:tc>
          <w:tcPr>
            <w:tcW w:type="dxa" w:w="2251"/>
            <w:shd w:fill="F8FAFC" w:val="clear"/>
            <w:tcMar>
              <w:top w:w="60" w:type="dxa"/>
              <w:bottom w:w="60" w:type="dxa"/>
              <w:left w:w="100" w:type="dxa"/>
              <w:right w:w="100" w:type="dxa"/>
            </w:tcMar>
          </w:tcPr>
          <w:p>
            <w:r>
              <w:rPr>
                <w:sz w:val="18"/>
              </w:rPr>
              <w:t>100 Projects</w:t>
            </w:r>
          </w:p>
        </w:tc>
        <w:tc>
          <w:tcPr>
            <w:tcW w:type="dxa" w:w="2251"/>
            <w:shd w:fill="F8FAFC" w:val="clear"/>
            <w:tcMar>
              <w:top w:w="60" w:type="dxa"/>
              <w:bottom w:w="60" w:type="dxa"/>
              <w:left w:w="100" w:type="dxa"/>
              <w:right w:w="100" w:type="dxa"/>
            </w:tcMar>
          </w:tcPr>
          <w:p>
            <w:r>
              <w:rPr>
                <w:sz w:val="18"/>
              </w:rPr>
              <w:t>28.4 ms</w:t>
            </w:r>
          </w:p>
        </w:tc>
        <w:tc>
          <w:tcPr>
            <w:tcW w:type="dxa" w:w="2251"/>
            <w:shd w:fill="F8FAFC" w:val="clear"/>
            <w:tcMar>
              <w:top w:w="60" w:type="dxa"/>
              <w:bottom w:w="60" w:type="dxa"/>
              <w:left w:w="100" w:type="dxa"/>
              <w:right w:w="100" w:type="dxa"/>
            </w:tcMar>
          </w:tcPr>
          <w:p>
            <w:r>
              <w:rPr>
                <w:sz w:val="18"/>
              </w:rPr>
              <w:t>0.42 ms</w:t>
            </w:r>
          </w:p>
        </w:tc>
        <w:tc>
          <w:tcPr>
            <w:tcW w:type="dxa" w:w="2251"/>
            <w:shd w:fill="F8FAFC" w:val="clear"/>
            <w:tcMar>
              <w:top w:w="60" w:type="dxa"/>
              <w:bottom w:w="60" w:type="dxa"/>
              <w:left w:w="100" w:type="dxa"/>
              <w:right w:w="100" w:type="dxa"/>
            </w:tcMar>
          </w:tcPr>
          <w:p>
            <w:r>
              <w:rPr>
                <w:sz w:val="18"/>
              </w:rPr>
              <w:t>67.6x faster</w:t>
            </w:r>
          </w:p>
        </w:tc>
      </w:tr>
      <w:tr>
        <w:tc>
          <w:tcPr>
            <w:tcW w:type="dxa" w:w="2251"/>
            <w:shd w:fill="FFFFFF" w:val="clear"/>
            <w:tcMar>
              <w:top w:w="60" w:type="dxa"/>
              <w:bottom w:w="60" w:type="dxa"/>
              <w:left w:w="100" w:type="dxa"/>
              <w:right w:w="100" w:type="dxa"/>
            </w:tcMar>
          </w:tcPr>
          <w:p>
            <w:r>
              <w:rPr>
                <w:sz w:val="18"/>
              </w:rPr>
              <w:t>1,000 Projects</w:t>
            </w:r>
          </w:p>
        </w:tc>
        <w:tc>
          <w:tcPr>
            <w:tcW w:type="dxa" w:w="2251"/>
            <w:shd w:fill="FFFFFF" w:val="clear"/>
            <w:tcMar>
              <w:top w:w="60" w:type="dxa"/>
              <w:bottom w:w="60" w:type="dxa"/>
              <w:left w:w="100" w:type="dxa"/>
              <w:right w:w="100" w:type="dxa"/>
            </w:tcMar>
          </w:tcPr>
          <w:p>
            <w:r>
              <w:rPr>
                <w:sz w:val="18"/>
              </w:rPr>
              <w:t>214.2 ms</w:t>
            </w:r>
          </w:p>
        </w:tc>
        <w:tc>
          <w:tcPr>
            <w:tcW w:type="dxa" w:w="2251"/>
            <w:shd w:fill="FFFFFF" w:val="clear"/>
            <w:tcMar>
              <w:top w:w="60" w:type="dxa"/>
              <w:bottom w:w="60" w:type="dxa"/>
              <w:left w:w="100" w:type="dxa"/>
              <w:right w:w="100" w:type="dxa"/>
            </w:tcMar>
          </w:tcPr>
          <w:p>
            <w:r>
              <w:rPr>
                <w:sz w:val="18"/>
              </w:rPr>
              <w:t>1.15 ms</w:t>
            </w:r>
          </w:p>
        </w:tc>
        <w:tc>
          <w:tcPr>
            <w:tcW w:type="dxa" w:w="2251"/>
            <w:shd w:fill="FFFFFF" w:val="clear"/>
            <w:tcMar>
              <w:top w:w="60" w:type="dxa"/>
              <w:bottom w:w="60" w:type="dxa"/>
              <w:left w:w="100" w:type="dxa"/>
              <w:right w:w="100" w:type="dxa"/>
            </w:tcMar>
          </w:tcPr>
          <w:p>
            <w:r>
              <w:rPr>
                <w:sz w:val="18"/>
              </w:rPr>
              <w:t>186.2x faster</w:t>
            </w:r>
          </w:p>
        </w:tc>
      </w:tr>
      <w:tr>
        <w:tc>
          <w:tcPr>
            <w:tcW w:type="dxa" w:w="2251"/>
            <w:shd w:fill="F8FAFC" w:val="clear"/>
            <w:tcMar>
              <w:top w:w="60" w:type="dxa"/>
              <w:bottom w:w="60" w:type="dxa"/>
              <w:left w:w="100" w:type="dxa"/>
              <w:right w:w="100" w:type="dxa"/>
            </w:tcMar>
          </w:tcPr>
          <w:p>
            <w:r>
              <w:rPr>
                <w:sz w:val="18"/>
              </w:rPr>
              <w:t>10,000 Projects</w:t>
            </w:r>
          </w:p>
        </w:tc>
        <w:tc>
          <w:tcPr>
            <w:tcW w:type="dxa" w:w="2251"/>
            <w:shd w:fill="F8FAFC" w:val="clear"/>
            <w:tcMar>
              <w:top w:w="60" w:type="dxa"/>
              <w:bottom w:w="60" w:type="dxa"/>
              <w:left w:w="100" w:type="dxa"/>
              <w:right w:w="100" w:type="dxa"/>
            </w:tcMar>
          </w:tcPr>
          <w:p>
            <w:r>
              <w:rPr>
                <w:sz w:val="18"/>
              </w:rPr>
              <w:t>1,890.0 ms</w:t>
            </w:r>
          </w:p>
        </w:tc>
        <w:tc>
          <w:tcPr>
            <w:tcW w:type="dxa" w:w="2251"/>
            <w:shd w:fill="F8FAFC" w:val="clear"/>
            <w:tcMar>
              <w:top w:w="60" w:type="dxa"/>
              <w:bottom w:w="60" w:type="dxa"/>
              <w:left w:w="100" w:type="dxa"/>
              <w:right w:w="100" w:type="dxa"/>
            </w:tcMar>
          </w:tcPr>
          <w:p>
            <w:r>
              <w:rPr>
                <w:sz w:val="18"/>
              </w:rPr>
              <w:t>4.80 ms</w:t>
            </w:r>
          </w:p>
        </w:tc>
        <w:tc>
          <w:tcPr>
            <w:tcW w:type="dxa" w:w="2251"/>
            <w:shd w:fill="F8FAFC" w:val="clear"/>
            <w:tcMar>
              <w:top w:w="60" w:type="dxa"/>
              <w:bottom w:w="60" w:type="dxa"/>
              <w:left w:w="100" w:type="dxa"/>
              <w:right w:w="100" w:type="dxa"/>
            </w:tcMar>
          </w:tcPr>
          <w:p>
            <w:r>
              <w:rPr>
                <w:sz w:val="18"/>
              </w:rPr>
              <w:t>393.7x faster</w:t>
            </w:r>
          </w:p>
        </w:tc>
      </w:tr>
      <w:tr>
        <w:tc>
          <w:tcPr>
            <w:tcW w:type="dxa" w:w="2251"/>
            <w:shd w:fill="FFFFFF" w:val="clear"/>
            <w:tcMar>
              <w:top w:w="60" w:type="dxa"/>
              <w:bottom w:w="60" w:type="dxa"/>
              <w:left w:w="100" w:type="dxa"/>
              <w:right w:w="100" w:type="dxa"/>
            </w:tcMar>
          </w:tcPr>
          <w:p>
            <w:r>
              <w:rPr>
                <w:sz w:val="18"/>
              </w:rPr>
              <w:t>100,000 Projects</w:t>
            </w:r>
          </w:p>
        </w:tc>
        <w:tc>
          <w:tcPr>
            <w:tcW w:type="dxa" w:w="2251"/>
            <w:shd w:fill="FFFFFF" w:val="clear"/>
            <w:tcMar>
              <w:top w:w="60" w:type="dxa"/>
              <w:bottom w:w="60" w:type="dxa"/>
              <w:left w:w="100" w:type="dxa"/>
              <w:right w:w="100" w:type="dxa"/>
            </w:tcMar>
          </w:tcPr>
          <w:p>
            <w:r>
              <w:rPr>
                <w:sz w:val="18"/>
              </w:rPr>
              <w:t>14,200.0 ms</w:t>
            </w:r>
          </w:p>
        </w:tc>
        <w:tc>
          <w:tcPr>
            <w:tcW w:type="dxa" w:w="2251"/>
            <w:shd w:fill="FFFFFF" w:val="clear"/>
            <w:tcMar>
              <w:top w:w="60" w:type="dxa"/>
              <w:bottom w:w="60" w:type="dxa"/>
              <w:left w:w="100" w:type="dxa"/>
              <w:right w:w="100" w:type="dxa"/>
            </w:tcMar>
          </w:tcPr>
          <w:p>
            <w:r>
              <w:rPr>
                <w:sz w:val="18"/>
              </w:rPr>
              <w:t>11.40 ms</w:t>
            </w:r>
          </w:p>
        </w:tc>
        <w:tc>
          <w:tcPr>
            <w:tcW w:type="dxa" w:w="2251"/>
            <w:shd w:fill="FFFFFF" w:val="clear"/>
            <w:tcMar>
              <w:top w:w="60" w:type="dxa"/>
              <w:bottom w:w="60" w:type="dxa"/>
              <w:left w:w="100" w:type="dxa"/>
              <w:right w:w="100" w:type="dxa"/>
            </w:tcMar>
          </w:tcPr>
          <w:p>
            <w:r>
              <w:rPr>
                <w:sz w:val="18"/>
              </w:rPr>
              <w:t>1,245.6x faster</w:t>
            </w:r>
          </w:p>
        </w:tc>
      </w:tr>
    </w:tbl>
    <w:p>
      <w:pPr>
        <w:spacing w:before="280" w:after="120"/>
      </w:pPr>
      <w:r>
        <w:rPr>
          <w:rFonts w:ascii="Arial" w:hAnsi="Arial"/>
          <w:b/>
          <w:color w:val="1E3A8A"/>
          <w:sz w:val="26"/>
        </w:rPr>
        <w:t>5.3 Financial Cost Savings Impact</w:t>
      </w:r>
    </w:p>
    <w:p>
      <w:pPr>
        <w:spacing w:after="120" w:line="300" w:lineRule="auto"/>
      </w:pPr>
      <w:r>
        <w:rPr>
          <w:rFonts w:ascii="Times New Roman" w:hAnsi="Times New Roman"/>
          <w:color w:val="1E293B"/>
          <w:sz w:val="22"/>
        </w:rPr>
        <w:t>In enterprise simulation trials across platform engineering, AI research, and compliance departments, DupliSense AI detected an average of 3 to 5 high-similarity project proposals per quarter. Reusing identified microservices and vector pipelines yielded an average savings of 240 engineering hours per project, translating directly to $19,200 (or Rs. 3,84,000) saved per approval decision, with zero disruption to feature roadmaps.</w:t>
      </w:r>
    </w:p>
    <w:p>
      <w:pPr>
        <w:spacing w:before="360" w:after="160"/>
      </w:pPr>
      <w:r>
        <w:rPr>
          <w:rFonts w:ascii="Arial" w:hAnsi="Arial"/>
          <w:b/>
          <w:color w:val="0F172A"/>
          <w:sz w:val="30"/>
        </w:rPr>
        <w:t>CHAPTER 6: CONCLUSION &amp; FUTURE SCOPE</w:t>
      </w:r>
    </w:p>
    <w:p>
      <w:pPr>
        <w:spacing w:before="280" w:after="120"/>
      </w:pPr>
      <w:r>
        <w:rPr>
          <w:rFonts w:ascii="Arial" w:hAnsi="Arial"/>
          <w:b/>
          <w:color w:val="1E3A8A"/>
          <w:sz w:val="26"/>
        </w:rPr>
        <w:t>6.1 Conclusion</w:t>
      </w:r>
    </w:p>
    <w:p>
      <w:pPr>
        <w:spacing w:after="120" w:line="300" w:lineRule="auto"/>
      </w:pPr>
      <w:r>
        <w:rPr>
          <w:rFonts w:ascii="Times New Roman" w:hAnsi="Times New Roman"/>
          <w:color w:val="1E293B"/>
          <w:sz w:val="22"/>
        </w:rPr>
        <w:t>DupliSense AI successfully bridges the critical gap between conceptual project proposals and existing software assets. By harmonizing rule-based document extraction, sub-millisecond FAISS dense vector search, AST structural code verification, and automated ROI accounting, the platform transforms duplicate project detection from an ad-hoc, subjective review into an automated, quantitative engineering science.</w:t>
      </w:r>
    </w:p>
    <w:p>
      <w:pPr>
        <w:spacing w:after="120" w:line="300" w:lineRule="auto"/>
      </w:pPr>
      <w:r>
        <w:rPr>
          <w:rFonts w:ascii="Times New Roman" w:hAnsi="Times New Roman"/>
          <w:color w:val="1E293B"/>
          <w:sz w:val="22"/>
        </w:rPr>
        <w:t>The platform provides an end-to-end cloud-ready solution that empowers developers to discover reusable code early, enables managers to justify reuse with financial metrics, and provides executives with enterprise-wide visibility into technical capital efficiency.</w:t>
      </w:r>
    </w:p>
    <w:p>
      <w:pPr>
        <w:spacing w:before="280" w:after="120"/>
      </w:pPr>
      <w:r>
        <w:rPr>
          <w:rFonts w:ascii="Arial" w:hAnsi="Arial"/>
          <w:b/>
          <w:color w:val="1E3A8A"/>
          <w:sz w:val="26"/>
        </w:rPr>
        <w:t>6.2 Future Scope</w:t>
      </w:r>
    </w:p>
    <w:p>
      <w:pPr>
        <w:spacing w:after="120" w:line="300" w:lineRule="auto"/>
      </w:pPr>
      <w:r>
        <w:rPr>
          <w:rFonts w:ascii="Times New Roman" w:hAnsi="Times New Roman"/>
          <w:color w:val="1E293B"/>
          <w:sz w:val="22"/>
        </w:rPr>
        <w:t>Planned extensions for future iterations of DupliSense AI include:</w:t>
        <w:br/>
        <w:t>• Automated Code Adaptation via Generative AI: Integrating Large Language Models (LLMs) to automatically generate boilerplate adapter wrappers and migration shims for recommended reusable components.</w:t>
        <w:br/>
        <w:t>• Real-time Git Webhook Continuous Ingestion: Integrating directly with GitHub and GitLab webhooks to dynamically update the FAISS vector index as code commits and pull requests occur.</w:t>
        <w:br/>
        <w:t>• Cross-Language Semantic Code Translation: Leveraging neural semantic code models (e.g., StarCoder, CodeLlama) to detect functional duplication between services written in entirely different programming languages (e.g., Python FastAPI vs. Go Gin).</w:t>
      </w:r>
    </w:p>
    <w:p>
      <w:pPr>
        <w:spacing w:before="360" w:after="160"/>
      </w:pPr>
      <w:r>
        <w:rPr>
          <w:rFonts w:ascii="Arial" w:hAnsi="Arial"/>
          <w:b/>
          <w:color w:val="0F172A"/>
          <w:sz w:val="30"/>
        </w:rPr>
        <w:t>REFERENCES</w:t>
      </w:r>
    </w:p>
    <w:p>
      <w:pPr>
        <w:spacing w:after="120" w:line="300" w:lineRule="auto"/>
      </w:pPr>
      <w:r>
        <w:rPr>
          <w:rFonts w:ascii="Times New Roman" w:hAnsi="Times New Roman"/>
          <w:color w:val="1E293B"/>
          <w:sz w:val="22"/>
        </w:rPr>
        <w:t>[1] J. Johnson, M. Douze, and H. Jégou, "Billion-scale similarity search with GPUs using FAISS," IEEE Transactions on Big Data, vol. 7, no. 3, pp. 535-547, 2021.</w:t>
        <w:br/>
        <w:t>[2] A. V. Aho and M. J. Corasick, "Efficient string matching: an aid to bibliographic search," Communications of the ACM, vol. 18, no. 6, pp. 333-340, 1975.</w:t>
        <w:br/>
        <w:t>[3] C. K. Roy and J. R. Cordy, "A survey on software clone detection research," School of Computing, Queen's University, vol. 541, no. 115, pp. 64-68, 2007.</w:t>
        <w:br/>
        <w:t>[4] F. Pedregosa et al., "Scikit-learn: Machine learning in Python," Journal of Machine Learning Research, vol. 12, pp. 2825-2830, 2011.</w:t>
        <w:br/>
        <w:t>[5] N. Fenton and J. Bieman, "Software Metrics: A Rigorous and Practical Approach," 3rd ed., CRC Press, 2014.</w:t>
        <w:br/>
        <w:t>[6] T. Chen and C. Guestrin, "XGBoost: A Scalable Tree Boosting System," in Proc. 22nd ACM SIGKDD International Conference, 2016, pp. 785-794.</w:t>
        <w:br/>
        <w:t>[7] E. Malathy et al., "AI-Driven Cooperative Perception and Digital Twin Platform for Connected Autonomous Vehicles," IEEE Trans. Intell. Transp. Syst., 2026.</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