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C6E73"/>
          <w:sz w:val="22"/>
        </w:rPr>
        <w:t>PHASE 17</w:t>
      </w:r>
    </w:p>
    <w:p>
      <w:pPr>
        <w:pStyle w:val="Title"/>
        <w:jc w:val="center"/>
      </w:pPr>
      <w:r>
        <w:t>FHIR Validation + ABDM Sandbox Client + Consent &amp; Health-Record Exchange Workflow</w:t>
      </w:r>
    </w:p>
    <w:p>
      <w:pPr>
        <w:jc w:val="center"/>
      </w:pPr>
      <w:r>
        <w:rPr>
          <w:b/>
        </w:rPr>
        <w:t>Rural Care Access &amp; Continuity Orchestration Platform</w:t>
      </w:r>
    </w:p>
    <w:p>
      <w:pPr>
        <w:jc w:val="center"/>
      </w:pPr>
      <w:r>
        <w:t>Production engineering blueprint | Sandbox-first | No live credentials required</w:t>
      </w:r>
    </w:p>
    <w:p>
      <w:pPr>
        <w:pStyle w:val="Heading1"/>
      </w:pPr>
      <w:r>
        <w:t>1. Phase objective</w:t>
      </w:r>
    </w:p>
    <w:p>
      <w:r>
        <w:t>Phase 16 established the FHIR integration foundation. Phase 17 turns that foundation into a controlled integration workflow: validate FHIR instances against the pinned ABDM profile package, execute sandbox-oriented authentication and callback flows through an adapter boundary, model consent as an external governed state, and demonstrate health-information exchange without making the orchestration platform a national clinical-record repository.</w:t>
      </w:r>
    </w:p>
    <w:p>
      <w:pPr>
        <w:pStyle w:val="ListBullet"/>
      </w:pPr>
      <w:r>
        <w:t>Primary deliverable: a sandbox-capable integration module that can be exercised end-to-end with synthetic patients and mock/authorized ABDM credentials.</w:t>
      </w:r>
    </w:p>
    <w:p>
      <w:pPr>
        <w:pStyle w:val="ListBullet"/>
      </w:pPr>
      <w:r>
        <w:t>Safety boundary: the platform never bypasses patient consent, never invents ABDM consent semantics, and never treats a FHIR payload as valid merely because it is syntactically valid JSON.</w:t>
      </w:r>
    </w:p>
    <w:p>
      <w:pPr>
        <w:pStyle w:val="ListBullet"/>
      </w:pPr>
      <w:r>
        <w:t>Architecture boundary: external ABDM calls live behind ports/adapters; the care-journey core remains independent of gateway URLs, token mechanics and external callback naming.</w:t>
      </w:r>
    </w:p>
    <w:p>
      <w:pPr>
        <w:pStyle w:val="Heading1"/>
      </w:pPr>
      <w:r>
        <w:t>2. Current verified baseline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CEEEF"/>
            <w:vAlign w:val="center"/>
          </w:tcPr>
          <w:p>
            <w:r>
              <w:rPr>
                <w:b/>
              </w:rPr>
              <w:t>Item</w:t>
            </w:r>
          </w:p>
        </w:tc>
        <w:tc>
          <w:tcPr>
            <w:tcW w:type="dxa" w:w="4320"/>
            <w:shd w:fill="DCEEEF"/>
            <w:vAlign w:val="center"/>
          </w:tcPr>
          <w:p>
            <w:r>
              <w:rPr>
                <w:b/>
              </w:rPr>
              <w:t>Decision / verified fact</w:t>
            </w:r>
          </w:p>
        </w:tc>
        <w:tc>
          <w:tcPr>
            <w:tcW w:type="dxa" w:w="3600"/>
            <w:shd w:fill="DCEEEF"/>
            <w:vAlign w:val="center"/>
          </w:tcPr>
          <w:p>
            <w:r>
              <w:rPr>
                <w:b/>
              </w:rPr>
              <w:t>Engineering consequence</w:t>
            </w:r>
          </w:p>
        </w:tc>
      </w:tr>
      <w:tr>
        <w:tc>
          <w:tcPr>
            <w:tcW w:type="dxa" w:w="2880"/>
            <w:vAlign w:val="top"/>
          </w:tcPr>
          <w:p>
            <w:r>
              <w:t>ABDM FHIR release</w:t>
            </w:r>
          </w:p>
        </w:tc>
        <w:tc>
          <w:tcPr>
            <w:tcW w:type="dxa" w:w="4320"/>
            <w:vAlign w:val="top"/>
          </w:tcPr>
          <w:p>
            <w:r>
              <w:t>Published active guide: v6.5.0, based on FHIR R4 / 4.0.1.</w:t>
            </w:r>
          </w:p>
        </w:tc>
        <w:tc>
          <w:tcPr>
            <w:tcW w:type="dxa" w:w="3600"/>
            <w:vAlign w:val="top"/>
          </w:tcPr>
          <w:p>
            <w:r>
              <w:t>Pin version in code, CI and test fixtures; do not silently float to a draft release.</w:t>
            </w:r>
          </w:p>
        </w:tc>
      </w:tr>
      <w:tr>
        <w:tc>
          <w:tcPr>
            <w:tcW w:type="dxa" w:w="2880"/>
            <w:vAlign w:val="top"/>
          </w:tcPr>
          <w:p>
            <w:r>
              <w:t>Validation artefact</w:t>
            </w:r>
          </w:p>
        </w:tc>
        <w:tc>
          <w:tcPr>
            <w:tcW w:type="dxa" w:w="4320"/>
            <w:vAlign w:val="top"/>
          </w:tcPr>
          <w:p>
            <w:r>
              <w:t>NRCeS provides an NPM package containing profiles, value sets, examples and implementation artefacts.</w:t>
            </w:r>
          </w:p>
        </w:tc>
        <w:tc>
          <w:tcPr>
            <w:tcW w:type="dxa" w:w="3600"/>
            <w:vAlign w:val="top"/>
          </w:tcPr>
          <w:p>
            <w:r>
              <w:t>Use the package as the validation source of truth for the pinned release.</w:t>
            </w:r>
          </w:p>
        </w:tc>
      </w:tr>
      <w:tr>
        <w:tc>
          <w:tcPr>
            <w:tcW w:type="dxa" w:w="2880"/>
            <w:vAlign w:val="top"/>
          </w:tcPr>
          <w:p>
            <w:r>
              <w:t>ABDM architecture</w:t>
            </w:r>
          </w:p>
        </w:tc>
        <w:tc>
          <w:tcPr>
            <w:tcW w:type="dxa" w:w="4320"/>
            <w:vAlign w:val="top"/>
          </w:tcPr>
          <w:p>
            <w:r>
              <w:t>ABDM facilitates secure exchange; health records remain with appropriate participating applications/providers rather than a central ABDM clinical store.</w:t>
            </w:r>
          </w:p>
        </w:tc>
        <w:tc>
          <w:tcPr>
            <w:tcW w:type="dxa" w:w="3600"/>
            <w:vAlign w:val="top"/>
          </w:tcPr>
          <w:p>
            <w:r>
              <w:t>Keep CareJourney as orchestration state; keep authoritative clinical records in source systems/HIPs.</w:t>
            </w:r>
          </w:p>
        </w:tc>
      </w:tr>
      <w:tr>
        <w:tc>
          <w:tcPr>
            <w:tcW w:type="dxa" w:w="2880"/>
            <w:vAlign w:val="top"/>
          </w:tcPr>
          <w:p>
            <w:r>
              <w:t>Sandbox</w:t>
            </w:r>
          </w:p>
        </w:tc>
        <w:tc>
          <w:tcPr>
            <w:tcW w:type="dxa" w:w="4320"/>
            <w:vAlign w:val="top"/>
          </w:tcPr>
          <w:p>
            <w:r>
              <w:t>ABDM describes Sandbox as a separated test space used before live ecosystem integration.</w:t>
            </w:r>
          </w:p>
        </w:tc>
        <w:tc>
          <w:tcPr>
            <w:tcW w:type="dxa" w:w="3600"/>
            <w:vAlign w:val="top"/>
          </w:tcPr>
          <w:p>
            <w:r>
              <w:t>All integration work in this phase is sandbox-first and synthetic.</w:t>
            </w:r>
          </w:p>
        </w:tc>
      </w:tr>
      <w:tr>
        <w:tc>
          <w:tcPr>
            <w:tcW w:type="dxa" w:w="2880"/>
            <w:vAlign w:val="top"/>
          </w:tcPr>
          <w:p>
            <w:r>
              <w:t>Public reference implementation</w:t>
            </w:r>
          </w:p>
        </w:tc>
        <w:tc>
          <w:tcPr>
            <w:tcW w:type="dxa" w:w="4320"/>
            <w:vAlign w:val="top"/>
          </w:tcPr>
          <w:p>
            <w:r>
              <w:t>NHA-ABDM publishes an ABDM Wrapper reference implementation covering patient, HIP, HIU, consent and health-information exchange workflows.</w:t>
            </w:r>
          </w:p>
        </w:tc>
        <w:tc>
          <w:tcPr>
            <w:tcW w:type="dxa" w:w="3600"/>
            <w:vAlign w:val="top"/>
          </w:tcPr>
          <w:p>
            <w:r>
              <w:t>Use it as a reference implementation, not as a substitute for current onboarding contracts.</w:t>
            </w:r>
          </w:p>
        </w:tc>
      </w:tr>
    </w:tbl>
    <w:p>
      <w:pPr>
        <w:spacing w:after="40"/>
      </w:pPr>
    </w:p>
    <w:p>
      <w:pPr>
        <w:pStyle w:val="Heading1"/>
      </w:pPr>
      <w:r>
        <w:t>3. Phase 17 target architecture</w:t>
      </w:r>
    </w:p>
    <w:p>
      <w:r>
        <w:rPr>
          <w:rFonts w:ascii="Consolas" w:hAnsi="Consolas"/>
          <w:sz w:val="16"/>
        </w:rPr>
        <w:t>Patient / CHO / MO / Referral Desk</w:t>
        <w:br/>
        <w:t xml:space="preserve">          |</w:t>
        <w:br/>
        <w:t xml:space="preserve">          v</w:t>
        <w:br/>
        <w:t>+-------------------------------+</w:t>
        <w:br/>
        <w:t>| Care Orchestration Core       |</w:t>
        <w:br/>
        <w:t>| Journey | Referral | Task     |</w:t>
        <w:br/>
        <w:t>| Follow-up | Audit | Rules     |</w:t>
        <w:br/>
        <w:t>+-------------------------------+</w:t>
        <w:br/>
        <w:t xml:space="preserve">          | internal ports only</w:t>
        <w:br/>
        <w:t xml:space="preserve">          v</w:t>
        <w:br/>
        <w:t>+-------------------------------+</w:t>
        <w:br/>
        <w:t>| ABDM Integration Adapter      |</w:t>
        <w:br/>
        <w:t>| Auth | Discovery | Linking    |</w:t>
        <w:br/>
        <w:t>| Consent | HIE | Callback     |</w:t>
        <w:br/>
        <w:t>| FHIR validation | Mapping    |</w:t>
        <w:br/>
        <w:t>+-------------------------------+</w:t>
        <w:br/>
        <w:t xml:space="preserve">          |</w:t>
        <w:br/>
        <w:t xml:space="preserve">          v</w:t>
        <w:br/>
        <w:t xml:space="preserve">  ABDM Sandbox Gateway / HIP / HIU</w:t>
        <w:br/>
        <w:t xml:space="preserve">          |</w:t>
        <w:br/>
        <w:t xml:space="preserve">          +--&gt; External Health Records</w:t>
        <w:br/>
        <w:t xml:space="preserve">          +--&gt; Consent Manager</w:t>
        <w:br/>
      </w:r>
    </w:p>
    <w:p>
      <w:r>
        <w:t>The adapter owns protocol details. The orchestration engine owns the operational care journey and its closure gates. A consent grant or FHIR transfer is evidence for a journey step, not a replacement for the journey state machine.</w:t>
      </w:r>
    </w:p>
    <w:p>
      <w:pPr>
        <w:pStyle w:val="Heading1"/>
      </w:pPr>
      <w:r>
        <w:t>4. Module decomposition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DCEEEF"/>
            <w:vAlign w:val="center"/>
          </w:tcPr>
          <w:p>
            <w:r>
              <w:rPr>
                <w:b/>
              </w:rPr>
              <w:t>Module</w:t>
            </w:r>
          </w:p>
        </w:tc>
        <w:tc>
          <w:tcPr>
            <w:tcW w:type="dxa" w:w="6048"/>
            <w:shd w:fill="DCEEEF"/>
            <w:vAlign w:val="center"/>
          </w:tcPr>
          <w:p>
            <w:r>
              <w:rPr>
                <w:b/>
              </w:rPr>
              <w:t>Responsibility</w:t>
            </w:r>
          </w:p>
        </w:tc>
        <w:tc>
          <w:tcPr>
            <w:tcW w:type="dxa" w:w="3240"/>
            <w:shd w:fill="DCEEEF"/>
            <w:vAlign w:val="center"/>
          </w:tcPr>
          <w:p>
            <w:r>
              <w:rPr>
                <w:b/>
              </w:rPr>
              <w:t>Must not do</w:t>
            </w:r>
          </w:p>
        </w:tc>
      </w:tr>
      <w:tr>
        <w:tc>
          <w:tcPr>
            <w:tcW w:type="dxa" w:w="1944"/>
            <w:vAlign w:val="top"/>
          </w:tcPr>
          <w:p>
            <w:r>
              <w:t>abdm-auth</w:t>
            </w:r>
          </w:p>
        </w:tc>
        <w:tc>
          <w:tcPr>
            <w:tcW w:type="dxa" w:w="6048"/>
            <w:vAlign w:val="top"/>
          </w:tcPr>
          <w:p>
            <w:r>
              <w:t>Token/session acquisition, expiry tracking, credential lookup, secure secret handling.</w:t>
            </w:r>
          </w:p>
        </w:tc>
        <w:tc>
          <w:tcPr>
            <w:tcW w:type="dxa" w:w="3240"/>
            <w:vAlign w:val="top"/>
          </w:tcPr>
          <w:p>
            <w:r>
              <w:t>Store client secrets in source code or logs.</w:t>
            </w:r>
          </w:p>
        </w:tc>
      </w:tr>
      <w:tr>
        <w:tc>
          <w:tcPr>
            <w:tcW w:type="dxa" w:w="1944"/>
            <w:vAlign w:val="top"/>
          </w:tcPr>
          <w:p>
            <w:r>
              <w:t>abdm-registry</w:t>
            </w:r>
          </w:p>
        </w:tc>
        <w:tc>
          <w:tcPr>
            <w:tcW w:type="dxa" w:w="6048"/>
            <w:vAlign w:val="top"/>
          </w:tcPr>
          <w:p>
            <w:r>
              <w:t>ABHA/HFR/HPR references and discovery/linking interactions as authorized.</w:t>
            </w:r>
          </w:p>
        </w:tc>
        <w:tc>
          <w:tcPr>
            <w:tcW w:type="dxa" w:w="3240"/>
            <w:vAlign w:val="top"/>
          </w:tcPr>
          <w:p>
            <w:r>
              <w:t>Create unofficial national identifiers.</w:t>
            </w:r>
          </w:p>
        </w:tc>
      </w:tr>
      <w:tr>
        <w:tc>
          <w:tcPr>
            <w:tcW w:type="dxa" w:w="1944"/>
            <w:vAlign w:val="top"/>
          </w:tcPr>
          <w:p>
            <w:r>
              <w:t>abdm-consent</w:t>
            </w:r>
          </w:p>
        </w:tc>
        <w:tc>
          <w:tcPr>
            <w:tcW w:type="dxa" w:w="6048"/>
            <w:vAlign w:val="top"/>
          </w:tcPr>
          <w:p>
            <w:r>
              <w:t>Create/track consent request, approval, expiry, revocation and purpose context.</w:t>
            </w:r>
          </w:p>
        </w:tc>
        <w:tc>
          <w:tcPr>
            <w:tcW w:type="dxa" w:w="3240"/>
            <w:vAlign w:val="top"/>
          </w:tcPr>
          <w:p>
            <w:r>
              <w:t>Assume consent is permanent or transferable between purposes.</w:t>
            </w:r>
          </w:p>
        </w:tc>
      </w:tr>
      <w:tr>
        <w:tc>
          <w:tcPr>
            <w:tcW w:type="dxa" w:w="1944"/>
            <w:vAlign w:val="top"/>
          </w:tcPr>
          <w:p>
            <w:r>
              <w:t>abdm-hie</w:t>
            </w:r>
          </w:p>
        </w:tc>
        <w:tc>
          <w:tcPr>
            <w:tcW w:type="dxa" w:w="6048"/>
            <w:vAlign w:val="top"/>
          </w:tcPr>
          <w:p>
            <w:r>
              <w:t>Health-information fetch/push orchestration and correlation IDs.</w:t>
            </w:r>
          </w:p>
        </w:tc>
        <w:tc>
          <w:tcPr>
            <w:tcW w:type="dxa" w:w="3240"/>
            <w:vAlign w:val="top"/>
          </w:tcPr>
          <w:p>
            <w:r>
              <w:t>Write directly into the CareJourney as if external records were authoritative workflow state.</w:t>
            </w:r>
          </w:p>
        </w:tc>
      </w:tr>
      <w:tr>
        <w:tc>
          <w:tcPr>
            <w:tcW w:type="dxa" w:w="1944"/>
            <w:vAlign w:val="top"/>
          </w:tcPr>
          <w:p>
            <w:r>
              <w:t>fhir-validator</w:t>
            </w:r>
          </w:p>
        </w:tc>
        <w:tc>
          <w:tcPr>
            <w:tcW w:type="dxa" w:w="6048"/>
            <w:vAlign w:val="top"/>
          </w:tcPr>
          <w:p>
            <w:r>
              <w:t>Schema/profile/terminology validation for pinned IG version.</w:t>
            </w:r>
          </w:p>
        </w:tc>
        <w:tc>
          <w:tcPr>
            <w:tcW w:type="dxa" w:w="3240"/>
            <w:vAlign w:val="top"/>
          </w:tcPr>
          <w:p>
            <w:r>
              <w:t>Accept merely well-formed JSON as conformant.</w:t>
            </w:r>
          </w:p>
        </w:tc>
      </w:tr>
      <w:tr>
        <w:tc>
          <w:tcPr>
            <w:tcW w:type="dxa" w:w="1944"/>
            <w:vAlign w:val="top"/>
          </w:tcPr>
          <w:p>
            <w:r>
              <w:t>fhir-mapper</w:t>
            </w:r>
          </w:p>
        </w:tc>
        <w:tc>
          <w:tcPr>
            <w:tcW w:type="dxa" w:w="6048"/>
            <w:vAlign w:val="top"/>
          </w:tcPr>
          <w:p>
            <w:r>
              <w:t>Map domain objects to/from ABDM FHIR profiles and retain provenance.</w:t>
            </w:r>
          </w:p>
        </w:tc>
        <w:tc>
          <w:tcPr>
            <w:tcW w:type="dxa" w:w="3240"/>
            <w:vAlign w:val="top"/>
          </w:tcPr>
          <w:p>
            <w:r>
              <w:t>Overwrite source-system meaning during normalization.</w:t>
            </w:r>
          </w:p>
        </w:tc>
      </w:tr>
      <w:tr>
        <w:tc>
          <w:tcPr>
            <w:tcW w:type="dxa" w:w="1944"/>
            <w:vAlign w:val="top"/>
          </w:tcPr>
          <w:p>
            <w:r>
              <w:t>callback-handler</w:t>
            </w:r>
          </w:p>
        </w:tc>
        <w:tc>
          <w:tcPr>
            <w:tcW w:type="dxa" w:w="6048"/>
            <w:vAlign w:val="top"/>
          </w:tcPr>
          <w:p>
            <w:r>
              <w:t>Receive external callbacks, authenticate/verify them, deduplicate, persist, publish internal events.</w:t>
            </w:r>
          </w:p>
        </w:tc>
        <w:tc>
          <w:tcPr>
            <w:tcW w:type="dxa" w:w="3240"/>
            <w:vAlign w:val="top"/>
          </w:tcPr>
          <w:p>
            <w:r>
              <w:t>Advance care journey without validating the callback and its correlation context.</w:t>
            </w:r>
          </w:p>
        </w:tc>
      </w:tr>
      <w:tr>
        <w:tc>
          <w:tcPr>
            <w:tcW w:type="dxa" w:w="1944"/>
            <w:vAlign w:val="top"/>
          </w:tcPr>
          <w:p>
            <w:r>
              <w:t>provenance-audit</w:t>
            </w:r>
          </w:p>
        </w:tc>
        <w:tc>
          <w:tcPr>
            <w:tcW w:type="dxa" w:w="6048"/>
            <w:vAlign w:val="top"/>
          </w:tcPr>
          <w:p>
            <w:r>
              <w:t>Immutable evidence of external request, response, validation result, actor and correlation ID.</w:t>
            </w:r>
          </w:p>
        </w:tc>
        <w:tc>
          <w:tcPr>
            <w:tcW w:type="dxa" w:w="3240"/>
            <w:vAlign w:val="top"/>
          </w:tcPr>
          <w:p>
            <w:r>
              <w:t>Log clinical payloads unnecessarily.</w:t>
            </w:r>
          </w:p>
        </w:tc>
      </w:tr>
    </w:tbl>
    <w:p>
      <w:pPr>
        <w:spacing w:after="40"/>
      </w:pPr>
    </w:p>
    <w:p>
      <w:pPr>
        <w:pStyle w:val="Heading1"/>
      </w:pPr>
      <w:r>
        <w:t>5. Consent workflow</w:t>
      </w:r>
    </w:p>
    <w:p>
      <w:r>
        <w:t>Consent is represented as a governed external interaction linked to an internal ConsentContext. The platform stores the minimum operational metadata required to decide whether a requested exchange may proceed and to prove which consent state was relied upon.</w:t>
      </w:r>
    </w:p>
    <w:p>
      <w:r>
        <w:rPr>
          <w:rFonts w:ascii="Consolas" w:hAnsi="Consolas"/>
          <w:sz w:val="16"/>
        </w:rPr>
        <w:t>CONSENT_REQUESTED</w:t>
        <w:br/>
        <w:t xml:space="preserve">      |</w:t>
        <w:br/>
        <w:t xml:space="preserve">      +--&gt; PENDING_USER_ACTION</w:t>
        <w:br/>
        <w:t xml:space="preserve">      |        |</w:t>
        <w:br/>
        <w:t xml:space="preserve">      |        +--&gt; GRANTED ----&gt; DATA_EXCHANGE_ALLOWED</w:t>
        <w:br/>
        <w:t xml:space="preserve">      |        |                  |</w:t>
        <w:br/>
        <w:t xml:space="preserve">      |        |                  +--&gt; EXCHANGE_COMPLETED</w:t>
        <w:br/>
        <w:t xml:space="preserve">      |        |</w:t>
        <w:br/>
        <w:t xml:space="preserve">      |        +--&gt; DENIED -----&gt; EXCHANGE_BLOCKED</w:t>
        <w:br/>
        <w:t xml:space="preserve">      |</w:t>
        <w:br/>
        <w:t xml:space="preserve">      +--&gt; EXPIRED / REVOKED --&gt; EXCHANGE_BLOCKED</w:t>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DCEEEF"/>
            <w:vAlign w:val="center"/>
          </w:tcPr>
          <w:p>
            <w:r>
              <w:rPr>
                <w:b/>
              </w:rPr>
              <w:t>ConsentContext field</w:t>
            </w:r>
          </w:p>
        </w:tc>
        <w:tc>
          <w:tcPr>
            <w:tcW w:type="dxa" w:w="7488"/>
            <w:shd w:fill="DCEEEF"/>
            <w:vAlign w:val="center"/>
          </w:tcPr>
          <w:p>
            <w:r>
              <w:rPr>
                <w:b/>
              </w:rPr>
              <w:t>Purpose</w:t>
            </w:r>
          </w:p>
        </w:tc>
      </w:tr>
      <w:tr>
        <w:tc>
          <w:tcPr>
            <w:tcW w:type="dxa" w:w="3312"/>
            <w:vAlign w:val="top"/>
          </w:tcPr>
          <w:p>
            <w:r>
              <w:t>consent_ref</w:t>
            </w:r>
          </w:p>
        </w:tc>
        <w:tc>
          <w:tcPr>
            <w:tcW w:type="dxa" w:w="7488"/>
            <w:vAlign w:val="top"/>
          </w:tcPr>
          <w:p>
            <w:r>
              <w:t>External consent transaction/reference identifier where available.</w:t>
            </w:r>
          </w:p>
        </w:tc>
      </w:tr>
      <w:tr>
        <w:tc>
          <w:tcPr>
            <w:tcW w:type="dxa" w:w="3312"/>
            <w:vAlign w:val="top"/>
          </w:tcPr>
          <w:p>
            <w:r>
              <w:t>purpose</w:t>
            </w:r>
          </w:p>
        </w:tc>
        <w:tc>
          <w:tcPr>
            <w:tcW w:type="dxa" w:w="7488"/>
            <w:vAlign w:val="top"/>
          </w:tcPr>
          <w:p>
            <w:r>
              <w:t>Why the exchange is needed, tied to the clinical/operational task.</w:t>
            </w:r>
          </w:p>
        </w:tc>
      </w:tr>
      <w:tr>
        <w:tc>
          <w:tcPr>
            <w:tcW w:type="dxa" w:w="3312"/>
            <w:vAlign w:val="top"/>
          </w:tcPr>
          <w:p>
            <w:r>
              <w:t>scope</w:t>
            </w:r>
          </w:p>
        </w:tc>
        <w:tc>
          <w:tcPr>
            <w:tcW w:type="dxa" w:w="7488"/>
            <w:vAlign w:val="top"/>
          </w:tcPr>
          <w:p>
            <w:r>
              <w:t>Types/categories of information and time/relationship boundaries permitted.</w:t>
            </w:r>
          </w:p>
        </w:tc>
      </w:tr>
      <w:tr>
        <w:tc>
          <w:tcPr>
            <w:tcW w:type="dxa" w:w="3312"/>
            <w:vAlign w:val="top"/>
          </w:tcPr>
          <w:p>
            <w:r>
              <w:t>status</w:t>
            </w:r>
          </w:p>
        </w:tc>
        <w:tc>
          <w:tcPr>
            <w:tcW w:type="dxa" w:w="7488"/>
            <w:vAlign w:val="top"/>
          </w:tcPr>
          <w:p>
            <w:r>
              <w:t>REQUESTED, PENDING, GRANTED, DENIED, EXPIRED, REVOKED; final mapping follows the authorized ABDM contract.</w:t>
            </w:r>
          </w:p>
        </w:tc>
      </w:tr>
      <w:tr>
        <w:tc>
          <w:tcPr>
            <w:tcW w:type="dxa" w:w="3312"/>
            <w:vAlign w:val="top"/>
          </w:tcPr>
          <w:p>
            <w:r>
              <w:t>issued_at / expires_at</w:t>
            </w:r>
          </w:p>
        </w:tc>
        <w:tc>
          <w:tcPr>
            <w:tcW w:type="dxa" w:w="7488"/>
            <w:vAlign w:val="top"/>
          </w:tcPr>
          <w:p>
            <w:r>
              <w:t>Validity window.</w:t>
            </w:r>
          </w:p>
        </w:tc>
      </w:tr>
      <w:tr>
        <w:tc>
          <w:tcPr>
            <w:tcW w:type="dxa" w:w="3312"/>
            <w:vAlign w:val="top"/>
          </w:tcPr>
          <w:p>
            <w:r>
              <w:t>requested_by / actor</w:t>
            </w:r>
          </w:p>
        </w:tc>
        <w:tc>
          <w:tcPr>
            <w:tcW w:type="dxa" w:w="7488"/>
            <w:vAlign w:val="top"/>
          </w:tcPr>
          <w:p>
            <w:r>
              <w:t>System or authorized role that initiated the request.</w:t>
            </w:r>
          </w:p>
        </w:tc>
      </w:tr>
      <w:tr>
        <w:tc>
          <w:tcPr>
            <w:tcW w:type="dxa" w:w="3312"/>
            <w:vAlign w:val="top"/>
          </w:tcPr>
          <w:p>
            <w:r>
              <w:t>evidence_ref</w:t>
            </w:r>
          </w:p>
        </w:tc>
        <w:tc>
          <w:tcPr>
            <w:tcW w:type="dxa" w:w="7488"/>
            <w:vAlign w:val="top"/>
          </w:tcPr>
          <w:p>
            <w:r>
              <w:t>Audit/event reference proving the state observed.</w:t>
            </w:r>
          </w:p>
        </w:tc>
      </w:tr>
    </w:tbl>
    <w:p>
      <w:pPr>
        <w:spacing w:after="40"/>
      </w:pPr>
    </w:p>
    <w:p>
      <w:pPr>
        <w:pStyle w:val="Heading1"/>
      </w:pPr>
      <w:r>
        <w:t>6. Health-information exchange workflow</w:t>
      </w:r>
    </w:p>
    <w:p>
      <w:r>
        <w:rPr>
          <w:rFonts w:ascii="Consolas" w:hAnsi="Consolas"/>
          <w:sz w:val="16"/>
        </w:rPr>
        <w:t>1. CareJourney identifies missing clinical context</w:t>
        <w:br/>
        <w:t>2. Policy check: is a permitted purpose present?</w:t>
        <w:br/>
        <w:t>3. Check current consent state</w:t>
        <w:br/>
        <w:t>4. If absent/insufficient -&gt; create consent request</w:t>
        <w:br/>
        <w:t>5. Receive verified consent outcome callback</w:t>
        <w:br/>
        <w:t>6. Resolve participating HIP/HIU references</w:t>
        <w:br/>
        <w:t>7. Issue health-information request</w:t>
        <w:br/>
        <w:t>8. Receive response / callback</w:t>
        <w:br/>
        <w:t>9. Validate every FHIR resource and Bundle against pinned IG</w:t>
        <w:br/>
        <w:t>10. Store normalized projection + source/provenance refs</w:t>
        <w:br/>
        <w:t>11. Emit HealthInformationAvailable</w:t>
        <w:br/>
        <w:t>12. Update only the affected journey task/state</w:t>
        <w:br/>
        <w:t>13. Record audit trail and user-visible explanation</w:t>
        <w:br/>
      </w:r>
    </w:p>
    <w:p>
      <w:r>
        <w:t>Important: a successful external exchange does not imply clinical correctness. Clinical users must see the source, timestamp and validation status of imported information and must retain the ability to disregard stale or conflicting data according to clinical policy.</w:t>
      </w:r>
    </w:p>
    <w:p>
      <w:pPr>
        <w:pStyle w:val="Heading1"/>
      </w:pPr>
      <w:r>
        <w:t>7. FHIR validation pipeline</w:t>
      </w:r>
    </w:p>
    <w:p>
      <w:r>
        <w:rPr>
          <w:rFonts w:ascii="Consolas" w:hAnsi="Consolas"/>
          <w:sz w:val="16"/>
        </w:rPr>
        <w:t>RAW PAYLOAD</w:t>
        <w:br/>
        <w:t xml:space="preserve">   |</w:t>
        <w:br/>
        <w:t xml:space="preserve">   v</w:t>
        <w:br/>
        <w:t>JSON / XML well-formedness</w:t>
        <w:br/>
        <w:t xml:space="preserve">   |</w:t>
        <w:br/>
        <w:t xml:space="preserve">   v</w:t>
        <w:br/>
        <w:t>FHIR R4 base validation</w:t>
        <w:br/>
        <w:t xml:space="preserve">   |</w:t>
        <w:br/>
        <w:t xml:space="preserve">   v</w:t>
        <w:br/>
        <w:t>Profile validation against ndhm.in#6.5.0</w:t>
        <w:br/>
        <w:t xml:space="preserve">   |</w:t>
        <w:br/>
        <w:t xml:space="preserve">   v</w:t>
        <w:br/>
        <w:t>Terminology / value-set checks</w:t>
        <w:br/>
        <w:t xml:space="preserve">   |</w:t>
        <w:br/>
        <w:t xml:space="preserve">   v</w:t>
        <w:br/>
        <w:t>Business invariants</w:t>
        <w:br/>
        <w:t xml:space="preserve">   |</w:t>
        <w:br/>
        <w:t xml:space="preserve">   +--&gt; PASS -&gt; persist + map + publish</w:t>
        <w:br/>
        <w:t xml:space="preserve">   |</w:t>
        <w:br/>
        <w:t xml:space="preserve">   +--&gt; WARN -&gt; persist as non-blocking warning if policy allows</w:t>
        <w:br/>
        <w:t xml:space="preserve">   |</w:t>
        <w:br/>
        <w:t xml:space="preserve">   +--&gt; FAIL -&gt; quarantine + retry/manual resolution</w:t>
        <w:br/>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DCEEEF"/>
            <w:vAlign w:val="center"/>
          </w:tcPr>
          <w:p>
            <w:r>
              <w:rPr>
                <w:b/>
              </w:rPr>
              <w:t>Validation layer</w:t>
            </w:r>
          </w:p>
        </w:tc>
        <w:tc>
          <w:tcPr>
            <w:tcW w:type="dxa" w:w="5184"/>
            <w:shd w:fill="DCEEEF"/>
            <w:vAlign w:val="center"/>
          </w:tcPr>
          <w:p>
            <w:r>
              <w:rPr>
                <w:b/>
              </w:rPr>
              <w:t>Example check</w:t>
            </w:r>
          </w:p>
        </w:tc>
        <w:tc>
          <w:tcPr>
            <w:tcW w:type="dxa" w:w="3672"/>
            <w:shd w:fill="DCEEEF"/>
            <w:vAlign w:val="center"/>
          </w:tcPr>
          <w:p>
            <w:r>
              <w:rPr>
                <w:b/>
              </w:rPr>
              <w:t>Failure handling</w:t>
            </w:r>
          </w:p>
        </w:tc>
      </w:tr>
      <w:tr>
        <w:tc>
          <w:tcPr>
            <w:tcW w:type="dxa" w:w="1944"/>
            <w:vAlign w:val="top"/>
          </w:tcPr>
          <w:p>
            <w:r>
              <w:t>Transport</w:t>
            </w:r>
          </w:p>
        </w:tc>
        <w:tc>
          <w:tcPr>
            <w:tcW w:type="dxa" w:w="5184"/>
            <w:vAlign w:val="top"/>
          </w:tcPr>
          <w:p>
            <w:r>
              <w:t>Content-Type, HTTP status, request/response correlation.</w:t>
            </w:r>
          </w:p>
        </w:tc>
        <w:tc>
          <w:tcPr>
            <w:tcW w:type="dxa" w:w="3672"/>
            <w:vAlign w:val="top"/>
          </w:tcPr>
          <w:p>
            <w:r>
              <w:t>Do not parse as clinical success when transport failed.</w:t>
            </w:r>
          </w:p>
        </w:tc>
      </w:tr>
      <w:tr>
        <w:tc>
          <w:tcPr>
            <w:tcW w:type="dxa" w:w="1944"/>
            <w:vAlign w:val="top"/>
          </w:tcPr>
          <w:p>
            <w:r>
              <w:t>FHIR base</w:t>
            </w:r>
          </w:p>
        </w:tc>
        <w:tc>
          <w:tcPr>
            <w:tcW w:type="dxa" w:w="5184"/>
            <w:vAlign w:val="top"/>
          </w:tcPr>
          <w:p>
            <w:r>
              <w:t>Resource type, JSON structure, primitive/cardinality rules.</w:t>
            </w:r>
          </w:p>
        </w:tc>
        <w:tc>
          <w:tcPr>
            <w:tcW w:type="dxa" w:w="3672"/>
            <w:vAlign w:val="top"/>
          </w:tcPr>
          <w:p>
            <w:r>
              <w:t>Reject/quarantine.</w:t>
            </w:r>
          </w:p>
        </w:tc>
      </w:tr>
      <w:tr>
        <w:tc>
          <w:tcPr>
            <w:tcW w:type="dxa" w:w="1944"/>
            <w:vAlign w:val="top"/>
          </w:tcPr>
          <w:p>
            <w:r>
              <w:t>ABDM profile</w:t>
            </w:r>
          </w:p>
        </w:tc>
        <w:tc>
          <w:tcPr>
            <w:tcW w:type="dxa" w:w="5184"/>
            <w:vAlign w:val="top"/>
          </w:tcPr>
          <w:p>
            <w:r>
              <w:t>Profile URL/version, required elements, slicing and invariants.</w:t>
            </w:r>
          </w:p>
        </w:tc>
        <w:tc>
          <w:tcPr>
            <w:tcW w:type="dxa" w:w="3672"/>
            <w:vAlign w:val="top"/>
          </w:tcPr>
          <w:p>
            <w:r>
              <w:t>Reject from clinical projection; retain raw evidence securely.</w:t>
            </w:r>
          </w:p>
        </w:tc>
      </w:tr>
      <w:tr>
        <w:tc>
          <w:tcPr>
            <w:tcW w:type="dxa" w:w="1944"/>
            <w:vAlign w:val="top"/>
          </w:tcPr>
          <w:p>
            <w:r>
              <w:t>Terminology</w:t>
            </w:r>
          </w:p>
        </w:tc>
        <w:tc>
          <w:tcPr>
            <w:tcW w:type="dxa" w:w="5184"/>
            <w:vAlign w:val="top"/>
          </w:tcPr>
          <w:p>
            <w:r>
              <w:t>Bound code/value-set compatibility where required.</w:t>
            </w:r>
          </w:p>
        </w:tc>
        <w:tc>
          <w:tcPr>
            <w:tcW w:type="dxa" w:w="3672"/>
            <w:vAlign w:val="top"/>
          </w:tcPr>
          <w:p>
            <w:r>
              <w:t>Warn or block according to profile strength and local policy.</w:t>
            </w:r>
          </w:p>
        </w:tc>
      </w:tr>
      <w:tr>
        <w:tc>
          <w:tcPr>
            <w:tcW w:type="dxa" w:w="1944"/>
            <w:vAlign w:val="top"/>
          </w:tcPr>
          <w:p>
            <w:r>
              <w:t>Business</w:t>
            </w:r>
          </w:p>
        </w:tc>
        <w:tc>
          <w:tcPr>
            <w:tcW w:type="dxa" w:w="5184"/>
            <w:vAlign w:val="top"/>
          </w:tcPr>
          <w:p>
            <w:r>
              <w:t>Patient linkage, journey association, timestamp plausibility, source identity.</w:t>
            </w:r>
          </w:p>
        </w:tc>
        <w:tc>
          <w:tcPr>
            <w:tcW w:type="dxa" w:w="3672"/>
            <w:vAlign w:val="top"/>
          </w:tcPr>
          <w:p>
            <w:r>
              <w:t>Escalate to integration exception; never silently merge.</w:t>
            </w:r>
          </w:p>
        </w:tc>
      </w:tr>
      <w:tr>
        <w:tc>
          <w:tcPr>
            <w:tcW w:type="dxa" w:w="1944"/>
            <w:vAlign w:val="top"/>
          </w:tcPr>
          <w:p>
            <w:r>
              <w:t>Provenance</w:t>
            </w:r>
          </w:p>
        </w:tc>
        <w:tc>
          <w:tcPr>
            <w:tcW w:type="dxa" w:w="5184"/>
            <w:vAlign w:val="top"/>
          </w:tcPr>
          <w:p>
            <w:r>
              <w:t>Source system, received_at, correlation_id, validation result.</w:t>
            </w:r>
          </w:p>
        </w:tc>
        <w:tc>
          <w:tcPr>
            <w:tcW w:type="dxa" w:w="3672"/>
            <w:vAlign w:val="top"/>
          </w:tcPr>
          <w:p>
            <w:r>
              <w:t>Block if provenance cannot be established.</w:t>
            </w:r>
          </w:p>
        </w:tc>
      </w:tr>
    </w:tbl>
    <w:p>
      <w:pPr>
        <w:spacing w:after="40"/>
      </w:pPr>
    </w:p>
    <w:p>
      <w:pPr>
        <w:pStyle w:val="Heading1"/>
      </w:pPr>
      <w:r>
        <w:t>8. Canonical API boundary for Phase 17</w:t>
      </w:r>
    </w:p>
    <w:p>
      <w:r>
        <w:rPr>
          <w:rFonts w:ascii="Consolas" w:hAnsi="Consolas"/>
          <w:sz w:val="16"/>
        </w:rPr>
        <w:t>POST /v1/integrations/abdm/consents</w:t>
        <w:br/>
        <w:t>GET  /v1/integrations/abdm/consents/{consentRef}</w:t>
        <w:br/>
        <w:t>POST /v1/integrations/abdm/hie-requests</w:t>
        <w:br/>
        <w:t>GET  /v1/integrations/abdm/hie-requests/{requestId}</w:t>
        <w:br/>
        <w:t>POST /v1/integrations/abdm/callbacks/consent</w:t>
        <w:br/>
        <w:t>POST /v1/integrations/abdm/callbacks/hie</w:t>
        <w:br/>
        <w:t>POST /v1/fhir/validate</w:t>
        <w:br/>
        <w:t>GET  /v1/integrations/abdm/health</w:t>
        <w:br/>
      </w:r>
    </w:p>
    <w:p>
      <w:r>
        <w:t>These are internal platform APIs. Exact external ABDM endpoints, headers, gateway paths and callback registrations are adapter configuration and onboarding artifacts, not domain API contracts. This prevents a future ABDM transport change from forcing a rewrite of the care-journey engine.</w:t>
      </w:r>
    </w:p>
    <w:p>
      <w:pPr>
        <w:pStyle w:val="Heading1"/>
      </w:pPr>
      <w:r>
        <w:t>9. Idempotency, replay and correlation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DCEEEF"/>
            <w:vAlign w:val="center"/>
          </w:tcPr>
          <w:p>
            <w:r>
              <w:rPr>
                <w:b/>
              </w:rPr>
              <w:t>Mechanism</w:t>
            </w:r>
          </w:p>
        </w:tc>
        <w:tc>
          <w:tcPr>
            <w:tcW w:type="dxa" w:w="7776"/>
            <w:shd w:fill="DCEEEF"/>
            <w:vAlign w:val="center"/>
          </w:tcPr>
          <w:p>
            <w:r>
              <w:rPr>
                <w:b/>
              </w:rPr>
              <w:t>Required behavior</w:t>
            </w:r>
          </w:p>
        </w:tc>
      </w:tr>
      <w:tr>
        <w:tc>
          <w:tcPr>
            <w:tcW w:type="dxa" w:w="3024"/>
            <w:vAlign w:val="top"/>
          </w:tcPr>
          <w:p>
            <w:r>
              <w:t>Idempotency-Key</w:t>
            </w:r>
          </w:p>
        </w:tc>
        <w:tc>
          <w:tcPr>
            <w:tcW w:type="dxa" w:w="7776"/>
            <w:vAlign w:val="top"/>
          </w:tcPr>
          <w:p>
            <w:r>
              <w:t>Every externally initiated command uses a stable key. Replays return the original result or a deterministic conflict state.</w:t>
            </w:r>
          </w:p>
        </w:tc>
      </w:tr>
      <w:tr>
        <w:tc>
          <w:tcPr>
            <w:tcW w:type="dxa" w:w="3024"/>
            <w:vAlign w:val="top"/>
          </w:tcPr>
          <w:p>
            <w:r>
              <w:t>Correlation-ID</w:t>
            </w:r>
          </w:p>
        </w:tc>
        <w:tc>
          <w:tcPr>
            <w:tcW w:type="dxa" w:w="7776"/>
            <w:vAlign w:val="top"/>
          </w:tcPr>
          <w:p>
            <w:r>
              <w:t>One trace ID spans internal command, external request, callback and downstream journey event.</w:t>
            </w:r>
          </w:p>
        </w:tc>
      </w:tr>
      <w:tr>
        <w:tc>
          <w:tcPr>
            <w:tcW w:type="dxa" w:w="3024"/>
            <w:vAlign w:val="top"/>
          </w:tcPr>
          <w:p>
            <w:r>
              <w:t>External Transaction ID</w:t>
            </w:r>
          </w:p>
        </w:tc>
        <w:tc>
          <w:tcPr>
            <w:tcW w:type="dxa" w:w="7776"/>
            <w:vAlign w:val="top"/>
          </w:tcPr>
          <w:p>
            <w:r>
              <w:t>Persist whenever supplied; index it uniquely within provider/gateway scope.</w:t>
            </w:r>
          </w:p>
        </w:tc>
      </w:tr>
      <w:tr>
        <w:tc>
          <w:tcPr>
            <w:tcW w:type="dxa" w:w="3024"/>
            <w:vAlign w:val="top"/>
          </w:tcPr>
          <w:p>
            <w:r>
              <w:t>Callback Event ID</w:t>
            </w:r>
          </w:p>
        </w:tc>
        <w:tc>
          <w:tcPr>
            <w:tcW w:type="dxa" w:w="7776"/>
            <w:vAlign w:val="top"/>
          </w:tcPr>
          <w:p>
            <w:r>
              <w:t>Deduplicate before side effects.</w:t>
            </w:r>
          </w:p>
        </w:tc>
      </w:tr>
      <w:tr>
        <w:tc>
          <w:tcPr>
            <w:tcW w:type="dxa" w:w="3024"/>
            <w:vAlign w:val="top"/>
          </w:tcPr>
          <w:p>
            <w:r>
              <w:t>Outbox</w:t>
            </w:r>
          </w:p>
        </w:tc>
        <w:tc>
          <w:tcPr>
            <w:tcW w:type="dxa" w:w="7776"/>
            <w:vAlign w:val="top"/>
          </w:tcPr>
          <w:p>
            <w:r>
              <w:t>Commit the domain state and event publication intent transactionally.</w:t>
            </w:r>
          </w:p>
        </w:tc>
      </w:tr>
      <w:tr>
        <w:tc>
          <w:tcPr>
            <w:tcW w:type="dxa" w:w="3024"/>
            <w:vAlign w:val="top"/>
          </w:tcPr>
          <w:p>
            <w:r>
              <w:t>Inbox / callback ledger</w:t>
            </w:r>
          </w:p>
        </w:tc>
        <w:tc>
          <w:tcPr>
            <w:tcW w:type="dxa" w:w="7776"/>
            <w:vAlign w:val="top"/>
          </w:tcPr>
          <w:p>
            <w:r>
              <w:t>Persist received callback metadata before executing business handlers.</w:t>
            </w:r>
          </w:p>
        </w:tc>
      </w:tr>
      <w:tr>
        <w:tc>
          <w:tcPr>
            <w:tcW w:type="dxa" w:w="3024"/>
            <w:vAlign w:val="top"/>
          </w:tcPr>
          <w:p>
            <w:r>
              <w:t>Dead-letter queue</w:t>
            </w:r>
          </w:p>
        </w:tc>
        <w:tc>
          <w:tcPr>
            <w:tcW w:type="dxa" w:w="7776"/>
            <w:vAlign w:val="top"/>
          </w:tcPr>
          <w:p>
            <w:r>
              <w:t>Quarantine messages that fail validation or retry budget.</w:t>
            </w:r>
          </w:p>
        </w:tc>
      </w:tr>
      <w:tr>
        <w:tc>
          <w:tcPr>
            <w:tcW w:type="dxa" w:w="3024"/>
            <w:vAlign w:val="top"/>
          </w:tcPr>
          <w:p>
            <w:r>
              <w:t>Replay command</w:t>
            </w:r>
          </w:p>
        </w:tc>
        <w:tc>
          <w:tcPr>
            <w:tcW w:type="dxa" w:w="7776"/>
            <w:vAlign w:val="top"/>
          </w:tcPr>
          <w:p>
            <w:r>
              <w:t>Allow authorized operators to replay a quarantined event without generating a duplicate clinical action.</w:t>
            </w:r>
          </w:p>
        </w:tc>
      </w:tr>
    </w:tbl>
    <w:p>
      <w:pPr>
        <w:spacing w:after="40"/>
      </w:pPr>
    </w:p>
    <w:p>
      <w:pPr>
        <w:pStyle w:val="Heading1"/>
      </w:pPr>
      <w:r>
        <w:t>10. Error-state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88"/>
            <w:shd w:fill="DCEEEF"/>
            <w:vAlign w:val="center"/>
          </w:tcPr>
          <w:p>
            <w:r>
              <w:rPr>
                <w:b/>
              </w:rPr>
              <w:t>Scenario</w:t>
            </w:r>
          </w:p>
        </w:tc>
        <w:tc>
          <w:tcPr>
            <w:tcW w:type="dxa" w:w="1944"/>
            <w:shd w:fill="DCEEEF"/>
            <w:vAlign w:val="center"/>
          </w:tcPr>
          <w:p>
            <w:r>
              <w:rPr>
                <w:b/>
              </w:rPr>
              <w:t>External result</w:t>
            </w:r>
          </w:p>
        </w:tc>
        <w:tc>
          <w:tcPr>
            <w:tcW w:type="dxa" w:w="2592"/>
            <w:shd w:fill="DCEEEF"/>
            <w:vAlign w:val="center"/>
          </w:tcPr>
          <w:p>
            <w:r>
              <w:rPr>
                <w:b/>
              </w:rPr>
              <w:t>Platform state</w:t>
            </w:r>
          </w:p>
        </w:tc>
        <w:tc>
          <w:tcPr>
            <w:tcW w:type="dxa" w:w="2376"/>
            <w:shd w:fill="DCEEEF"/>
            <w:vAlign w:val="center"/>
          </w:tcPr>
          <w:p>
            <w:r>
              <w:rPr>
                <w:b/>
              </w:rPr>
              <w:t>User-visible result</w:t>
            </w:r>
          </w:p>
        </w:tc>
        <w:tc>
          <w:tcPr>
            <w:tcW w:type="dxa" w:w="1800"/>
            <w:shd w:fill="DCEEEF"/>
            <w:vAlign w:val="center"/>
          </w:tcPr>
          <w:p>
            <w:r>
              <w:rPr>
                <w:b/>
              </w:rPr>
              <w:t>Recovery</w:t>
            </w:r>
          </w:p>
        </w:tc>
      </w:tr>
      <w:tr>
        <w:tc>
          <w:tcPr>
            <w:tcW w:type="dxa" w:w="2088"/>
            <w:vAlign w:val="top"/>
          </w:tcPr>
          <w:p>
            <w:r>
              <w:t>Auth expired</w:t>
            </w:r>
          </w:p>
        </w:tc>
        <w:tc>
          <w:tcPr>
            <w:tcW w:type="dxa" w:w="1944"/>
            <w:vAlign w:val="top"/>
          </w:tcPr>
          <w:p>
            <w:r>
              <w:t>401/invalid token</w:t>
            </w:r>
          </w:p>
        </w:tc>
        <w:tc>
          <w:tcPr>
            <w:tcW w:type="dxa" w:w="2592"/>
            <w:vAlign w:val="top"/>
          </w:tcPr>
          <w:p>
            <w:r>
              <w:t>INTEGRATION_AUTH_REQUIRED</w:t>
            </w:r>
          </w:p>
        </w:tc>
        <w:tc>
          <w:tcPr>
            <w:tcW w:type="dxa" w:w="2376"/>
            <w:vAlign w:val="top"/>
          </w:tcPr>
          <w:p>
            <w:r>
              <w:t>Connection needs renewal; journey unchanged</w:t>
            </w:r>
          </w:p>
        </w:tc>
        <w:tc>
          <w:tcPr>
            <w:tcW w:type="dxa" w:w="1800"/>
            <w:vAlign w:val="top"/>
          </w:tcPr>
          <w:p>
            <w:r>
              <w:t>Refresh/re-auth; retry safely.</w:t>
            </w:r>
          </w:p>
        </w:tc>
      </w:tr>
      <w:tr>
        <w:tc>
          <w:tcPr>
            <w:tcW w:type="dxa" w:w="2088"/>
            <w:vAlign w:val="top"/>
          </w:tcPr>
          <w:p>
            <w:r>
              <w:t>Consent denied</w:t>
            </w:r>
          </w:p>
        </w:tc>
        <w:tc>
          <w:tcPr>
            <w:tcW w:type="dxa" w:w="1944"/>
            <w:vAlign w:val="top"/>
          </w:tcPr>
          <w:p>
            <w:r>
              <w:t>Denied/rejected</w:t>
            </w:r>
          </w:p>
        </w:tc>
        <w:tc>
          <w:tcPr>
            <w:tcW w:type="dxa" w:w="2592"/>
            <w:vAlign w:val="top"/>
          </w:tcPr>
          <w:p>
            <w:r>
              <w:t>CONSENT_BLOCKED</w:t>
            </w:r>
          </w:p>
        </w:tc>
        <w:tc>
          <w:tcPr>
            <w:tcW w:type="dxa" w:w="2376"/>
            <w:vAlign w:val="top"/>
          </w:tcPr>
          <w:p>
            <w:r>
              <w:t>Explain why requested record is unavailable</w:t>
            </w:r>
          </w:p>
        </w:tc>
        <w:tc>
          <w:tcPr>
            <w:tcW w:type="dxa" w:w="1800"/>
            <w:vAlign w:val="top"/>
          </w:tcPr>
          <w:p>
            <w:r>
              <w:t>Alternative care path / manual record collection.</w:t>
            </w:r>
          </w:p>
        </w:tc>
      </w:tr>
      <w:tr>
        <w:tc>
          <w:tcPr>
            <w:tcW w:type="dxa" w:w="2088"/>
            <w:vAlign w:val="top"/>
          </w:tcPr>
          <w:p>
            <w:r>
              <w:t>Consent revoked/expired</w:t>
            </w:r>
          </w:p>
        </w:tc>
        <w:tc>
          <w:tcPr>
            <w:tcW w:type="dxa" w:w="1944"/>
            <w:vAlign w:val="top"/>
          </w:tcPr>
          <w:p>
            <w:r>
              <w:t>No longer valid</w:t>
            </w:r>
          </w:p>
        </w:tc>
        <w:tc>
          <w:tcPr>
            <w:tcW w:type="dxa" w:w="2592"/>
            <w:vAlign w:val="top"/>
          </w:tcPr>
          <w:p>
            <w:r>
              <w:t>CONSENT_INVALID</w:t>
            </w:r>
          </w:p>
        </w:tc>
        <w:tc>
          <w:tcPr>
            <w:tcW w:type="dxa" w:w="2376"/>
            <w:vAlign w:val="top"/>
          </w:tcPr>
          <w:p>
            <w:r>
              <w:t>Do not fetch further data</w:t>
            </w:r>
          </w:p>
        </w:tc>
        <w:tc>
          <w:tcPr>
            <w:tcW w:type="dxa" w:w="1800"/>
            <w:vAlign w:val="top"/>
          </w:tcPr>
          <w:p>
            <w:r>
              <w:t>New consent if policy permits.</w:t>
            </w:r>
          </w:p>
        </w:tc>
      </w:tr>
      <w:tr>
        <w:tc>
          <w:tcPr>
            <w:tcW w:type="dxa" w:w="2088"/>
            <w:vAlign w:val="top"/>
          </w:tcPr>
          <w:p>
            <w:r>
              <w:t>Callback duplicated</w:t>
            </w:r>
          </w:p>
        </w:tc>
        <w:tc>
          <w:tcPr>
            <w:tcW w:type="dxa" w:w="1944"/>
            <w:vAlign w:val="top"/>
          </w:tcPr>
          <w:p>
            <w:r>
              <w:t>Same event again</w:t>
            </w:r>
          </w:p>
        </w:tc>
        <w:tc>
          <w:tcPr>
            <w:tcW w:type="dxa" w:w="2592"/>
            <w:vAlign w:val="top"/>
          </w:tcPr>
          <w:p>
            <w:r>
              <w:t>NO_OP_DUPLICATE</w:t>
            </w:r>
          </w:p>
        </w:tc>
        <w:tc>
          <w:tcPr>
            <w:tcW w:type="dxa" w:w="2376"/>
            <w:vAlign w:val="top"/>
          </w:tcPr>
          <w:p>
            <w:r>
              <w:t>No user interruption</w:t>
            </w:r>
          </w:p>
        </w:tc>
        <w:tc>
          <w:tcPr>
            <w:tcW w:type="dxa" w:w="1800"/>
            <w:vAlign w:val="top"/>
          </w:tcPr>
          <w:p>
            <w:r>
              <w:t>Audit duplicate.</w:t>
            </w:r>
          </w:p>
        </w:tc>
      </w:tr>
      <w:tr>
        <w:tc>
          <w:tcPr>
            <w:tcW w:type="dxa" w:w="2088"/>
            <w:vAlign w:val="top"/>
          </w:tcPr>
          <w:p>
            <w:r>
              <w:t>FHIR invalid</w:t>
            </w:r>
          </w:p>
        </w:tc>
        <w:tc>
          <w:tcPr>
            <w:tcW w:type="dxa" w:w="1944"/>
            <w:vAlign w:val="top"/>
          </w:tcPr>
          <w:p>
            <w:r>
              <w:t>Profile failure</w:t>
            </w:r>
          </w:p>
        </w:tc>
        <w:tc>
          <w:tcPr>
            <w:tcW w:type="dxa" w:w="2592"/>
            <w:vAlign w:val="top"/>
          </w:tcPr>
          <w:p>
            <w:r>
              <w:t>DATA_QUARANTINED</w:t>
            </w:r>
          </w:p>
        </w:tc>
        <w:tc>
          <w:tcPr>
            <w:tcW w:type="dxa" w:w="2376"/>
            <w:vAlign w:val="top"/>
          </w:tcPr>
          <w:p>
            <w:r>
              <w:t>Record not admitted into clinical projection</w:t>
            </w:r>
          </w:p>
        </w:tc>
        <w:tc>
          <w:tcPr>
            <w:tcW w:type="dxa" w:w="1800"/>
            <w:vAlign w:val="top"/>
          </w:tcPr>
          <w:p>
            <w:r>
              <w:t>Integration team fixes source/mapping.</w:t>
            </w:r>
          </w:p>
        </w:tc>
      </w:tr>
      <w:tr>
        <w:tc>
          <w:tcPr>
            <w:tcW w:type="dxa" w:w="2088"/>
            <w:vAlign w:val="top"/>
          </w:tcPr>
          <w:p>
            <w:r>
              <w:t>Gateway timeout</w:t>
            </w:r>
          </w:p>
        </w:tc>
        <w:tc>
          <w:tcPr>
            <w:tcW w:type="dxa" w:w="1944"/>
            <w:vAlign w:val="top"/>
          </w:tcPr>
          <w:p>
            <w:r>
              <w:t>No response</w:t>
            </w:r>
          </w:p>
        </w:tc>
        <w:tc>
          <w:tcPr>
            <w:tcW w:type="dxa" w:w="2592"/>
            <w:vAlign w:val="top"/>
          </w:tcPr>
          <w:p>
            <w:r>
              <w:t>EXTERNAL_PENDING</w:t>
            </w:r>
          </w:p>
        </w:tc>
        <w:tc>
          <w:tcPr>
            <w:tcW w:type="dxa" w:w="2376"/>
            <w:vAlign w:val="top"/>
          </w:tcPr>
          <w:p>
            <w:r>
              <w:t>Still pending; do not claim success</w:t>
            </w:r>
          </w:p>
        </w:tc>
        <w:tc>
          <w:tcPr>
            <w:tcW w:type="dxa" w:w="1800"/>
            <w:vAlign w:val="top"/>
          </w:tcPr>
          <w:p>
            <w:r>
              <w:t>Exponential retry + circuit breaker.</w:t>
            </w:r>
          </w:p>
        </w:tc>
      </w:tr>
      <w:tr>
        <w:tc>
          <w:tcPr>
            <w:tcW w:type="dxa" w:w="2088"/>
            <w:vAlign w:val="top"/>
          </w:tcPr>
          <w:p>
            <w:r>
              <w:t>Conflicting patient identity</w:t>
            </w:r>
          </w:p>
        </w:tc>
        <w:tc>
          <w:tcPr>
            <w:tcW w:type="dxa" w:w="1944"/>
            <w:vAlign w:val="top"/>
          </w:tcPr>
          <w:p>
            <w:r>
              <w:t>Ambiguous match</w:t>
            </w:r>
          </w:p>
        </w:tc>
        <w:tc>
          <w:tcPr>
            <w:tcW w:type="dxa" w:w="2592"/>
            <w:vAlign w:val="top"/>
          </w:tcPr>
          <w:p>
            <w:r>
              <w:t>IDENTITY_REVIEW_REQUIRED</w:t>
            </w:r>
          </w:p>
        </w:tc>
        <w:tc>
          <w:tcPr>
            <w:tcW w:type="dxa" w:w="2376"/>
            <w:vAlign w:val="top"/>
          </w:tcPr>
          <w:p>
            <w:r>
              <w:t>Do not merge records</w:t>
            </w:r>
          </w:p>
        </w:tc>
        <w:tc>
          <w:tcPr>
            <w:tcW w:type="dxa" w:w="1800"/>
            <w:vAlign w:val="top"/>
          </w:tcPr>
          <w:p>
            <w:r>
              <w:t>Human verification.</w:t>
            </w:r>
          </w:p>
        </w:tc>
      </w:tr>
      <w:tr>
        <w:tc>
          <w:tcPr>
            <w:tcW w:type="dxa" w:w="2088"/>
            <w:vAlign w:val="top"/>
          </w:tcPr>
          <w:p>
            <w:r>
              <w:t>Partial HIE response</w:t>
            </w:r>
          </w:p>
        </w:tc>
        <w:tc>
          <w:tcPr>
            <w:tcW w:type="dxa" w:w="1944"/>
            <w:vAlign w:val="top"/>
          </w:tcPr>
          <w:p>
            <w:r>
              <w:t>Some documents returned</w:t>
            </w:r>
          </w:p>
        </w:tc>
        <w:tc>
          <w:tcPr>
            <w:tcW w:type="dxa" w:w="2592"/>
            <w:vAlign w:val="top"/>
          </w:tcPr>
          <w:p>
            <w:r>
              <w:t>EXCHANGE_PARTIAL</w:t>
            </w:r>
          </w:p>
        </w:tc>
        <w:tc>
          <w:tcPr>
            <w:tcW w:type="dxa" w:w="2376"/>
            <w:vAlign w:val="top"/>
          </w:tcPr>
          <w:p>
            <w:r>
              <w:t>Show available records with source/freshness</w:t>
            </w:r>
          </w:p>
        </w:tc>
        <w:tc>
          <w:tcPr>
            <w:tcW w:type="dxa" w:w="1800"/>
            <w:vAlign w:val="top"/>
          </w:tcPr>
          <w:p>
            <w:r>
              <w:t>Retry missing segments; preserve partial evidence.</w:t>
            </w:r>
          </w:p>
        </w:tc>
      </w:tr>
    </w:tbl>
    <w:p>
      <w:pPr>
        <w:spacing w:after="40"/>
      </w:pPr>
    </w:p>
    <w:p>
      <w:pPr>
        <w:pStyle w:val="Heading1"/>
      </w:pPr>
      <w:r>
        <w:t>11. Security and privacy controls</w:t>
      </w:r>
    </w:p>
    <w:p>
      <w:pPr>
        <w:pStyle w:val="ListBullet"/>
      </w:pPr>
      <w:r>
        <w:t>Secrets: environment/secret manager only; no client secret in Git, test fixtures or browser code.</w:t>
      </w:r>
    </w:p>
    <w:p>
      <w:pPr>
        <w:pStyle w:val="ListBullet"/>
      </w:pPr>
      <w:r>
        <w:t>Transport: TLS; verify certificates; restrict outbound destinations to configured gateway endpoints.</w:t>
      </w:r>
    </w:p>
    <w:p>
      <w:pPr>
        <w:pStyle w:val="ListBullet"/>
      </w:pPr>
      <w:r>
        <w:t>Inbound callbacks: validate authenticity/integrity according to the current official integration contract; reject unsigned or structurally invalid callbacks.</w:t>
      </w:r>
    </w:p>
    <w:p>
      <w:pPr>
        <w:pStyle w:val="ListBullet"/>
      </w:pPr>
      <w:r>
        <w:t>Least privilege: separate integration service identity from human clinical roles.</w:t>
      </w:r>
    </w:p>
    <w:p>
      <w:pPr>
        <w:pStyle w:val="ListBullet"/>
      </w:pPr>
      <w:r>
        <w:t>Data minimization: retain identifiers and metadata needed for operations; avoid duplicating full longitudinal records when a source reference or permitted projection is sufficient.</w:t>
      </w:r>
    </w:p>
    <w:p>
      <w:pPr>
        <w:pStyle w:val="ListBullet"/>
      </w:pPr>
      <w:r>
        <w:t>Audit: log who/what/when/why, consent state relied upon, source, transaction ID and validation result.</w:t>
      </w:r>
    </w:p>
    <w:p>
      <w:pPr>
        <w:pStyle w:val="ListBullet"/>
      </w:pPr>
      <w:r>
        <w:t>Offline: never queue sensitive payloads unencrypted on a device; synchronize only after device/user trust checks pass.</w:t>
      </w:r>
    </w:p>
    <w:p>
      <w:pPr>
        <w:pStyle w:val="ListBullet"/>
      </w:pPr>
      <w:r>
        <w:t>Clinical safety: imported information is contextual evidence; clinical decisions remain with authorized professionals.</w:t>
      </w:r>
    </w:p>
    <w:p>
      <w:pPr>
        <w:pStyle w:val="Heading1"/>
      </w:pPr>
      <w:r>
        <w:t>12. CI/CD and test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CEEEF"/>
            <w:vAlign w:val="center"/>
          </w:tcPr>
          <w:p>
            <w:r>
              <w:rPr>
                <w:b/>
              </w:rPr>
              <w:t>Test tier</w:t>
            </w:r>
          </w:p>
        </w:tc>
        <w:tc>
          <w:tcPr>
            <w:tcW w:type="dxa" w:w="6192"/>
            <w:shd w:fill="DCEEEF"/>
            <w:vAlign w:val="center"/>
          </w:tcPr>
          <w:p>
            <w:r>
              <w:rPr>
                <w:b/>
              </w:rPr>
              <w:t>Examples</w:t>
            </w:r>
          </w:p>
        </w:tc>
        <w:tc>
          <w:tcPr>
            <w:tcW w:type="dxa" w:w="2880"/>
            <w:shd w:fill="DCEEEF"/>
            <w:vAlign w:val="center"/>
          </w:tcPr>
          <w:p>
            <w:r>
              <w:rPr>
                <w:b/>
              </w:rPr>
              <w:t>Exit criterion</w:t>
            </w:r>
          </w:p>
        </w:tc>
      </w:tr>
      <w:tr>
        <w:tc>
          <w:tcPr>
            <w:tcW w:type="dxa" w:w="1872"/>
            <w:vAlign w:val="top"/>
          </w:tcPr>
          <w:p>
            <w:r>
              <w:t>Unit</w:t>
            </w:r>
          </w:p>
        </w:tc>
        <w:tc>
          <w:tcPr>
            <w:tcW w:type="dxa" w:w="6192"/>
            <w:vAlign w:val="top"/>
          </w:tcPr>
          <w:p>
            <w:r>
              <w:t>Consent state transitions, mapping, idempotency, callback dedupe.</w:t>
            </w:r>
          </w:p>
        </w:tc>
        <w:tc>
          <w:tcPr>
            <w:tcW w:type="dxa" w:w="2880"/>
            <w:vAlign w:val="top"/>
          </w:tcPr>
          <w:p>
            <w:r>
              <w:t>100% of state-transition rules covered.</w:t>
            </w:r>
          </w:p>
        </w:tc>
      </w:tr>
      <w:tr>
        <w:tc>
          <w:tcPr>
            <w:tcW w:type="dxa" w:w="1872"/>
            <w:vAlign w:val="top"/>
          </w:tcPr>
          <w:p>
            <w:r>
              <w:t>FHIR conformance</w:t>
            </w:r>
          </w:p>
        </w:tc>
        <w:tc>
          <w:tcPr>
            <w:tcW w:type="dxa" w:w="6192"/>
            <w:vAlign w:val="top"/>
          </w:tcPr>
          <w:p>
            <w:r>
              <w:t>Representative Patient, Encounter, Observation, ServiceRequest, DiagnosticReport, MedicationRequest, DocumentBundle/Task examples.</w:t>
            </w:r>
          </w:p>
        </w:tc>
        <w:tc>
          <w:tcPr>
            <w:tcW w:type="dxa" w:w="2880"/>
            <w:vAlign w:val="top"/>
          </w:tcPr>
          <w:p>
            <w:r>
              <w:t>All release-pinned required profiles pass; known warnings documented.</w:t>
            </w:r>
          </w:p>
        </w:tc>
      </w:tr>
      <w:tr>
        <w:tc>
          <w:tcPr>
            <w:tcW w:type="dxa" w:w="1872"/>
            <w:vAlign w:val="top"/>
          </w:tcPr>
          <w:p>
            <w:r>
              <w:t>Contract</w:t>
            </w:r>
          </w:p>
        </w:tc>
        <w:tc>
          <w:tcPr>
            <w:tcW w:type="dxa" w:w="6192"/>
            <w:vAlign w:val="top"/>
          </w:tcPr>
          <w:p>
            <w:r>
              <w:t>Mock external gateway requests/callbacks.</w:t>
            </w:r>
          </w:p>
        </w:tc>
        <w:tc>
          <w:tcPr>
            <w:tcW w:type="dxa" w:w="2880"/>
            <w:vAlign w:val="top"/>
          </w:tcPr>
          <w:p>
            <w:r>
              <w:t>Schema-compatible request/response fixtures; deterministic errors.</w:t>
            </w:r>
          </w:p>
        </w:tc>
      </w:tr>
      <w:tr>
        <w:tc>
          <w:tcPr>
            <w:tcW w:type="dxa" w:w="1872"/>
            <w:vAlign w:val="top"/>
          </w:tcPr>
          <w:p>
            <w:r>
              <w:t>Security</w:t>
            </w:r>
          </w:p>
        </w:tc>
        <w:tc>
          <w:tcPr>
            <w:tcW w:type="dxa" w:w="6192"/>
            <w:vAlign w:val="top"/>
          </w:tcPr>
          <w:p>
            <w:r>
              <w:t>Secret scan, dependency scan, callback auth negative tests.</w:t>
            </w:r>
          </w:p>
        </w:tc>
        <w:tc>
          <w:tcPr>
            <w:tcW w:type="dxa" w:w="2880"/>
            <w:vAlign w:val="top"/>
          </w:tcPr>
          <w:p>
            <w:r>
              <w:t>No high-severity unresolved findings in release candidate.</w:t>
            </w:r>
          </w:p>
        </w:tc>
      </w:tr>
      <w:tr>
        <w:tc>
          <w:tcPr>
            <w:tcW w:type="dxa" w:w="1872"/>
            <w:vAlign w:val="top"/>
          </w:tcPr>
          <w:p>
            <w:r>
              <w:t>End-to-end</w:t>
            </w:r>
          </w:p>
        </w:tc>
        <w:tc>
          <w:tcPr>
            <w:tcW w:type="dxa" w:w="6192"/>
            <w:vAlign w:val="top"/>
          </w:tcPr>
          <w:p>
            <w:r>
              <w:t>Consent -&gt; HIE -&gt; validation -&gt; journey evidence.</w:t>
            </w:r>
          </w:p>
        </w:tc>
        <w:tc>
          <w:tcPr>
            <w:tcW w:type="dxa" w:w="2880"/>
            <w:vAlign w:val="top"/>
          </w:tcPr>
          <w:p>
            <w:r>
              <w:t>Synthetic journey reaches expected state with audit trail.</w:t>
            </w:r>
          </w:p>
        </w:tc>
      </w:tr>
      <w:tr>
        <w:tc>
          <w:tcPr>
            <w:tcW w:type="dxa" w:w="1872"/>
            <w:vAlign w:val="top"/>
          </w:tcPr>
          <w:p>
            <w:r>
              <w:t>Resilience</w:t>
            </w:r>
          </w:p>
        </w:tc>
        <w:tc>
          <w:tcPr>
            <w:tcW w:type="dxa" w:w="6192"/>
            <w:vAlign w:val="top"/>
          </w:tcPr>
          <w:p>
            <w:r>
              <w:t>Timeout, duplicate, out-of-order, partial response, replay.</w:t>
            </w:r>
          </w:p>
        </w:tc>
        <w:tc>
          <w:tcPr>
            <w:tcW w:type="dxa" w:w="2880"/>
            <w:vAlign w:val="top"/>
          </w:tcPr>
          <w:p>
            <w:r>
              <w:t>No duplicate clinical side effects; recovery deterministic.</w:t>
            </w:r>
          </w:p>
        </w:tc>
      </w:tr>
    </w:tbl>
    <w:p>
      <w:pPr>
        <w:spacing w:after="40"/>
      </w:pPr>
    </w:p>
    <w:p>
      <w:pPr>
        <w:pStyle w:val="Heading1"/>
      </w:pPr>
      <w:r>
        <w:t>13. Acceptance tests for Phase 17</w:t>
      </w:r>
    </w:p>
    <w:p>
      <w:pPr>
        <w:pStyle w:val="ListBullet"/>
      </w:pPr>
      <w:r>
        <w:t>AT-01: A synthetic consent request is created with a correlation ID, purpose and expiry; no HIE request is sent while consent is not sufficient.</w:t>
      </w:r>
    </w:p>
    <w:p>
      <w:pPr>
        <w:pStyle w:val="ListBullet"/>
      </w:pPr>
      <w:r>
        <w:t>AT-02: A granted consent callback is accepted exactly once; duplicate callbacks produce no duplicate task or data-exchange action.</w:t>
      </w:r>
    </w:p>
    <w:p>
      <w:pPr>
        <w:pStyle w:val="ListBullet"/>
      </w:pPr>
      <w:r>
        <w:t>AT-03: A synthetic FHIR R4 Patient + Encounter + Observation bundle validates against ndhm.in#6.5.0 and produces a successful validation record.</w:t>
      </w:r>
    </w:p>
    <w:p>
      <w:pPr>
        <w:pStyle w:val="ListBullet"/>
      </w:pPr>
      <w:r>
        <w:t>AT-04: A deliberately invalid profile instance is quarantined, not exposed as clinical data, and creates an integration exception.</w:t>
      </w:r>
    </w:p>
    <w:p>
      <w:pPr>
        <w:pStyle w:val="ListBullet"/>
      </w:pPr>
      <w:r>
        <w:t>AT-05: An HIE timeout places the exchange in pending/retry rather than success.</w:t>
      </w:r>
    </w:p>
    <w:p>
      <w:pPr>
        <w:pStyle w:val="ListBullet"/>
      </w:pPr>
      <w:r>
        <w:t>AT-06: Revoked/expired consent blocks new data fetches and records the policy decision.</w:t>
      </w:r>
    </w:p>
    <w:p>
      <w:pPr>
        <w:pStyle w:val="ListBullet"/>
      </w:pPr>
      <w:r>
        <w:t>AT-07: Conflicting patient linkage never auto-merges; an identity-review task is created.</w:t>
      </w:r>
    </w:p>
    <w:p>
      <w:pPr>
        <w:pStyle w:val="ListBullet"/>
      </w:pPr>
      <w:r>
        <w:t>AT-08: Every accepted external event has provenance sufficient to reconstruct request -&gt; callback -&gt; validation -&gt; journey effect.</w:t>
      </w:r>
    </w:p>
    <w:p>
      <w:pPr>
        <w:pStyle w:val="ListBullet"/>
      </w:pPr>
      <w:r>
        <w:t>AT-09: A sandbox credential can be replaced by environment configuration without recompiling the domain service.</w:t>
      </w:r>
    </w:p>
    <w:p>
      <w:pPr>
        <w:pStyle w:val="ListBullet"/>
      </w:pPr>
      <w:r>
        <w:t>AT-10: No test, log or demo screen contains a real patient record, live client secret or production token.</w:t>
      </w:r>
    </w:p>
    <w:p>
      <w:pPr>
        <w:pStyle w:val="Heading1"/>
      </w:pPr>
      <w:r>
        <w:t>14. Implementation backlog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CEEEF"/>
            <w:vAlign w:val="center"/>
          </w:tcPr>
          <w:p>
            <w:r>
              <w:rPr>
                <w:b/>
              </w:rPr>
              <w:t>Priority</w:t>
            </w:r>
          </w:p>
        </w:tc>
        <w:tc>
          <w:tcPr>
            <w:tcW w:type="dxa" w:w="6768"/>
            <w:shd w:fill="DCEEEF"/>
            <w:vAlign w:val="center"/>
          </w:tcPr>
          <w:p>
            <w:r>
              <w:rPr>
                <w:b/>
              </w:rPr>
              <w:t>Work item</w:t>
            </w:r>
          </w:p>
        </w:tc>
        <w:tc>
          <w:tcPr>
            <w:tcW w:type="dxa" w:w="3024"/>
            <w:shd w:fill="DCEEEF"/>
            <w:vAlign w:val="center"/>
          </w:tcPr>
          <w:p>
            <w:r>
              <w:rPr>
                <w:b/>
              </w:rPr>
              <w:t>Output</w:t>
            </w:r>
          </w:p>
        </w:tc>
      </w:tr>
      <w:tr>
        <w:tc>
          <w:tcPr>
            <w:tcW w:type="dxa" w:w="1152"/>
            <w:vAlign w:val="top"/>
          </w:tcPr>
          <w:p>
            <w:r>
              <w:t>P0</w:t>
            </w:r>
          </w:p>
        </w:tc>
        <w:tc>
          <w:tcPr>
            <w:tcW w:type="dxa" w:w="6768"/>
            <w:vAlign w:val="top"/>
          </w:tcPr>
          <w:p>
            <w:r>
              <w:t>Pin ABDM IG package 6.5.0 and validator configuration.</w:t>
            </w:r>
          </w:p>
        </w:tc>
        <w:tc>
          <w:tcPr>
            <w:tcW w:type="dxa" w:w="3024"/>
            <w:vAlign w:val="top"/>
          </w:tcPr>
          <w:p>
            <w:r>
              <w:t>Repeatable validator container / build step.</w:t>
            </w:r>
          </w:p>
        </w:tc>
      </w:tr>
      <w:tr>
        <w:tc>
          <w:tcPr>
            <w:tcW w:type="dxa" w:w="1152"/>
            <w:vAlign w:val="top"/>
          </w:tcPr>
          <w:p>
            <w:r>
              <w:t>P0</w:t>
            </w:r>
          </w:p>
        </w:tc>
        <w:tc>
          <w:tcPr>
            <w:tcW w:type="dxa" w:w="6768"/>
            <w:vAlign w:val="top"/>
          </w:tcPr>
          <w:p>
            <w:r>
              <w:t>Implement consent state machine + persistence + audit.</w:t>
            </w:r>
          </w:p>
        </w:tc>
        <w:tc>
          <w:tcPr>
            <w:tcW w:type="dxa" w:w="3024"/>
            <w:vAlign w:val="top"/>
          </w:tcPr>
          <w:p>
            <w:r>
              <w:t>ConsentContext aggregate + migration + tests.</w:t>
            </w:r>
          </w:p>
        </w:tc>
      </w:tr>
      <w:tr>
        <w:tc>
          <w:tcPr>
            <w:tcW w:type="dxa" w:w="1152"/>
            <w:vAlign w:val="top"/>
          </w:tcPr>
          <w:p>
            <w:r>
              <w:t>P0</w:t>
            </w:r>
          </w:p>
        </w:tc>
        <w:tc>
          <w:tcPr>
            <w:tcW w:type="dxa" w:w="6768"/>
            <w:vAlign w:val="top"/>
          </w:tcPr>
          <w:p>
            <w:r>
              <w:t>Implement ABDM adapter port and sandbox configuration.</w:t>
            </w:r>
          </w:p>
        </w:tc>
        <w:tc>
          <w:tcPr>
            <w:tcW w:type="dxa" w:w="3024"/>
            <w:vAlign w:val="top"/>
          </w:tcPr>
          <w:p>
            <w:r>
              <w:t>AbdmGatewayPort + sandbox adapter + mock adapter.</w:t>
            </w:r>
          </w:p>
        </w:tc>
      </w:tr>
      <w:tr>
        <w:tc>
          <w:tcPr>
            <w:tcW w:type="dxa" w:w="1152"/>
            <w:vAlign w:val="top"/>
          </w:tcPr>
          <w:p>
            <w:r>
              <w:t>P0</w:t>
            </w:r>
          </w:p>
        </w:tc>
        <w:tc>
          <w:tcPr>
            <w:tcW w:type="dxa" w:w="6768"/>
            <w:vAlign w:val="top"/>
          </w:tcPr>
          <w:p>
            <w:r>
              <w:t>Implement callback inbox + idempotency.</w:t>
            </w:r>
          </w:p>
        </w:tc>
        <w:tc>
          <w:tcPr>
            <w:tcW w:type="dxa" w:w="3024"/>
            <w:vAlign w:val="top"/>
          </w:tcPr>
          <w:p>
            <w:r>
              <w:t>Callback ledger + dedupe middleware.</w:t>
            </w:r>
          </w:p>
        </w:tc>
      </w:tr>
      <w:tr>
        <w:tc>
          <w:tcPr>
            <w:tcW w:type="dxa" w:w="1152"/>
            <w:vAlign w:val="top"/>
          </w:tcPr>
          <w:p>
            <w:r>
              <w:t>P0</w:t>
            </w:r>
          </w:p>
        </w:tc>
        <w:tc>
          <w:tcPr>
            <w:tcW w:type="dxa" w:w="6768"/>
            <w:vAlign w:val="top"/>
          </w:tcPr>
          <w:p>
            <w:r>
              <w:t>Implement HIE request/response orchestration.</w:t>
            </w:r>
          </w:p>
        </w:tc>
        <w:tc>
          <w:tcPr>
            <w:tcW w:type="dxa" w:w="3024"/>
            <w:vAlign w:val="top"/>
          </w:tcPr>
          <w:p>
            <w:r>
              <w:t>HieExchange service + correlation state.</w:t>
            </w:r>
          </w:p>
        </w:tc>
      </w:tr>
      <w:tr>
        <w:tc>
          <w:tcPr>
            <w:tcW w:type="dxa" w:w="1152"/>
            <w:vAlign w:val="top"/>
          </w:tcPr>
          <w:p>
            <w:r>
              <w:t>P1</w:t>
            </w:r>
          </w:p>
        </w:tc>
        <w:tc>
          <w:tcPr>
            <w:tcW w:type="dxa" w:w="6768"/>
            <w:vAlign w:val="top"/>
          </w:tcPr>
          <w:p>
            <w:r>
              <w:t>Implement FHIR profile validator endpoint.</w:t>
            </w:r>
          </w:p>
        </w:tc>
        <w:tc>
          <w:tcPr>
            <w:tcW w:type="dxa" w:w="3024"/>
            <w:vAlign w:val="top"/>
          </w:tcPr>
          <w:p>
            <w:r>
              <w:t>/v1/fhir/validate + machine-readable findings.</w:t>
            </w:r>
          </w:p>
        </w:tc>
      </w:tr>
      <w:tr>
        <w:tc>
          <w:tcPr>
            <w:tcW w:type="dxa" w:w="1152"/>
            <w:vAlign w:val="top"/>
          </w:tcPr>
          <w:p>
            <w:r>
              <w:t>P1</w:t>
            </w:r>
          </w:p>
        </w:tc>
        <w:tc>
          <w:tcPr>
            <w:tcW w:type="dxa" w:w="6768"/>
            <w:vAlign w:val="top"/>
          </w:tcPr>
          <w:p>
            <w:r>
              <w:t>Implement mapping provenance.</w:t>
            </w:r>
          </w:p>
        </w:tc>
        <w:tc>
          <w:tcPr>
            <w:tcW w:type="dxa" w:w="3024"/>
            <w:vAlign w:val="top"/>
          </w:tcPr>
          <w:p>
            <w:r>
              <w:t>ResourceMapResult with source refs and validation outcome.</w:t>
            </w:r>
          </w:p>
        </w:tc>
      </w:tr>
      <w:tr>
        <w:tc>
          <w:tcPr>
            <w:tcW w:type="dxa" w:w="1152"/>
            <w:vAlign w:val="top"/>
          </w:tcPr>
          <w:p>
            <w:r>
              <w:t>P1</w:t>
            </w:r>
          </w:p>
        </w:tc>
        <w:tc>
          <w:tcPr>
            <w:tcW w:type="dxa" w:w="6768"/>
            <w:vAlign w:val="top"/>
          </w:tcPr>
          <w:p>
            <w:r>
              <w:t>Add end-to-end synthetic fixtures.</w:t>
            </w:r>
          </w:p>
        </w:tc>
        <w:tc>
          <w:tcPr>
            <w:tcW w:type="dxa" w:w="3024"/>
            <w:vAlign w:val="top"/>
          </w:tcPr>
          <w:p>
            <w:r>
              <w:t>Golden test bundles and consent/HIE fixtures.</w:t>
            </w:r>
          </w:p>
        </w:tc>
      </w:tr>
      <w:tr>
        <w:tc>
          <w:tcPr>
            <w:tcW w:type="dxa" w:w="1152"/>
            <w:vAlign w:val="top"/>
          </w:tcPr>
          <w:p>
            <w:r>
              <w:t>P1</w:t>
            </w:r>
          </w:p>
        </w:tc>
        <w:tc>
          <w:tcPr>
            <w:tcW w:type="dxa" w:w="6768"/>
            <w:vAlign w:val="top"/>
          </w:tcPr>
          <w:p>
            <w:r>
              <w:t>Add operational dashboards.</w:t>
            </w:r>
          </w:p>
        </w:tc>
        <w:tc>
          <w:tcPr>
            <w:tcW w:type="dxa" w:w="3024"/>
            <w:vAlign w:val="top"/>
          </w:tcPr>
          <w:p>
            <w:r>
              <w:t>Consent pending, exchange pending, validation failures, callback lag.</w:t>
            </w:r>
          </w:p>
        </w:tc>
      </w:tr>
      <w:tr>
        <w:tc>
          <w:tcPr>
            <w:tcW w:type="dxa" w:w="1152"/>
            <w:vAlign w:val="top"/>
          </w:tcPr>
          <w:p>
            <w:r>
              <w:t>P2</w:t>
            </w:r>
          </w:p>
        </w:tc>
        <w:tc>
          <w:tcPr>
            <w:tcW w:type="dxa" w:w="6768"/>
            <w:vAlign w:val="top"/>
          </w:tcPr>
          <w:p>
            <w:r>
              <w:t>Prepare authorized Sandbox onboarding checklist.</w:t>
            </w:r>
          </w:p>
        </w:tc>
        <w:tc>
          <w:tcPr>
            <w:tcW w:type="dxa" w:w="3024"/>
            <w:vAlign w:val="top"/>
          </w:tcPr>
          <w:p>
            <w:r>
              <w:t>Credentials, bridge URL, security and environment runbook.</w:t>
            </w:r>
          </w:p>
        </w:tc>
      </w:tr>
    </w:tbl>
    <w:p>
      <w:pPr>
        <w:spacing w:after="40"/>
      </w:pPr>
    </w:p>
    <w:p>
      <w:pPr>
        <w:pStyle w:val="Heading1"/>
      </w:pPr>
      <w:r>
        <w:t>15. Operational dashboards added by Phase 17</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CEEEF"/>
            <w:vAlign w:val="center"/>
          </w:tcPr>
          <w:p>
            <w:r>
              <w:rPr>
                <w:b/>
              </w:rPr>
              <w:t>Metric</w:t>
            </w:r>
          </w:p>
        </w:tc>
        <w:tc>
          <w:tcPr>
            <w:tcW w:type="dxa" w:w="5184"/>
            <w:shd w:fill="DCEEEF"/>
            <w:vAlign w:val="center"/>
          </w:tcPr>
          <w:p>
            <w:r>
              <w:rPr>
                <w:b/>
              </w:rPr>
              <w:t>Why it matters</w:t>
            </w:r>
          </w:p>
        </w:tc>
        <w:tc>
          <w:tcPr>
            <w:tcW w:type="dxa" w:w="2736"/>
            <w:shd w:fill="DCEEEF"/>
            <w:vAlign w:val="center"/>
          </w:tcPr>
          <w:p>
            <w:r>
              <w:rPr>
                <w:b/>
              </w:rPr>
              <w:t>Alert example</w:t>
            </w:r>
          </w:p>
        </w:tc>
      </w:tr>
      <w:tr>
        <w:tc>
          <w:tcPr>
            <w:tcW w:type="dxa" w:w="3024"/>
            <w:vAlign w:val="top"/>
          </w:tcPr>
          <w:p>
            <w:r>
              <w:t>Consent pending age</w:t>
            </w:r>
          </w:p>
        </w:tc>
        <w:tc>
          <w:tcPr>
            <w:tcW w:type="dxa" w:w="5184"/>
            <w:vAlign w:val="top"/>
          </w:tcPr>
          <w:p>
            <w:r>
              <w:t>Users blocked waiting for exchange authorization.</w:t>
            </w:r>
          </w:p>
        </w:tc>
        <w:tc>
          <w:tcPr>
            <w:tcW w:type="dxa" w:w="2736"/>
            <w:vAlign w:val="top"/>
          </w:tcPr>
          <w:p>
            <w:r>
              <w:t>High count beyond configured SLA.</w:t>
            </w:r>
          </w:p>
        </w:tc>
      </w:tr>
      <w:tr>
        <w:tc>
          <w:tcPr>
            <w:tcW w:type="dxa" w:w="3024"/>
            <w:vAlign w:val="top"/>
          </w:tcPr>
          <w:p>
            <w:r>
              <w:t>HIE request success rate</w:t>
            </w:r>
          </w:p>
        </w:tc>
        <w:tc>
          <w:tcPr>
            <w:tcW w:type="dxa" w:w="5184"/>
            <w:vAlign w:val="top"/>
          </w:tcPr>
          <w:p>
            <w:r>
              <w:t>External integration health.</w:t>
            </w:r>
          </w:p>
        </w:tc>
        <w:tc>
          <w:tcPr>
            <w:tcW w:type="dxa" w:w="2736"/>
            <w:vAlign w:val="top"/>
          </w:tcPr>
          <w:p>
            <w:r>
              <w:t>Drop below threshold by connector.</w:t>
            </w:r>
          </w:p>
        </w:tc>
      </w:tr>
      <w:tr>
        <w:tc>
          <w:tcPr>
            <w:tcW w:type="dxa" w:w="3024"/>
            <w:vAlign w:val="top"/>
          </w:tcPr>
          <w:p>
            <w:r>
              <w:t>Callback delay</w:t>
            </w:r>
          </w:p>
        </w:tc>
        <w:tc>
          <w:tcPr>
            <w:tcW w:type="dxa" w:w="5184"/>
            <w:vAlign w:val="top"/>
          </w:tcPr>
          <w:p>
            <w:r>
              <w:t>Latency from external action to platform state.</w:t>
            </w:r>
          </w:p>
        </w:tc>
        <w:tc>
          <w:tcPr>
            <w:tcW w:type="dxa" w:w="2736"/>
            <w:vAlign w:val="top"/>
          </w:tcPr>
          <w:p>
            <w:r>
              <w:t>P95 exceeds operational target.</w:t>
            </w:r>
          </w:p>
        </w:tc>
      </w:tr>
      <w:tr>
        <w:tc>
          <w:tcPr>
            <w:tcW w:type="dxa" w:w="3024"/>
            <w:vAlign w:val="top"/>
          </w:tcPr>
          <w:p>
            <w:r>
              <w:t>FHIR validation failure rate</w:t>
            </w:r>
          </w:p>
        </w:tc>
        <w:tc>
          <w:tcPr>
            <w:tcW w:type="dxa" w:w="5184"/>
            <w:vAlign w:val="top"/>
          </w:tcPr>
          <w:p>
            <w:r>
              <w:t>Data quality / mapping regressions.</w:t>
            </w:r>
          </w:p>
        </w:tc>
        <w:tc>
          <w:tcPr>
            <w:tcW w:type="dxa" w:w="2736"/>
            <w:vAlign w:val="top"/>
          </w:tcPr>
          <w:p>
            <w:r>
              <w:t>Spike after connector release.</w:t>
            </w:r>
          </w:p>
        </w:tc>
      </w:tr>
      <w:tr>
        <w:tc>
          <w:tcPr>
            <w:tcW w:type="dxa" w:w="3024"/>
            <w:vAlign w:val="top"/>
          </w:tcPr>
          <w:p>
            <w:r>
              <w:t>Quarantine backlog</w:t>
            </w:r>
          </w:p>
        </w:tc>
        <w:tc>
          <w:tcPr>
            <w:tcW w:type="dxa" w:w="5184"/>
            <w:vAlign w:val="top"/>
          </w:tcPr>
          <w:p>
            <w:r>
              <w:t>Unresolved exchange issues.</w:t>
            </w:r>
          </w:p>
        </w:tc>
        <w:tc>
          <w:tcPr>
            <w:tcW w:type="dxa" w:w="2736"/>
            <w:vAlign w:val="top"/>
          </w:tcPr>
          <w:p>
            <w:r>
              <w:t>Backlog older than policy window.</w:t>
            </w:r>
          </w:p>
        </w:tc>
      </w:tr>
      <w:tr>
        <w:tc>
          <w:tcPr>
            <w:tcW w:type="dxa" w:w="3024"/>
            <w:vAlign w:val="top"/>
          </w:tcPr>
          <w:p>
            <w:r>
              <w:t>Duplicate callback rate</w:t>
            </w:r>
          </w:p>
        </w:tc>
        <w:tc>
          <w:tcPr>
            <w:tcW w:type="dxa" w:w="5184"/>
            <w:vAlign w:val="top"/>
          </w:tcPr>
          <w:p>
            <w:r>
              <w:t>Integration/network replay visibility.</w:t>
            </w:r>
          </w:p>
        </w:tc>
        <w:tc>
          <w:tcPr>
            <w:tcW w:type="dxa" w:w="2736"/>
            <w:vAlign w:val="top"/>
          </w:tcPr>
          <w:p>
            <w:r>
              <w:t>Unexpected spike.</w:t>
            </w:r>
          </w:p>
        </w:tc>
      </w:tr>
      <w:tr>
        <w:tc>
          <w:tcPr>
            <w:tcW w:type="dxa" w:w="3024"/>
            <w:vAlign w:val="top"/>
          </w:tcPr>
          <w:p>
            <w:r>
              <w:t>Identity review queue</w:t>
            </w:r>
          </w:p>
        </w:tc>
        <w:tc>
          <w:tcPr>
            <w:tcW w:type="dxa" w:w="5184"/>
            <w:vAlign w:val="top"/>
          </w:tcPr>
          <w:p>
            <w:r>
              <w:t>Potential patient-match safety issue.</w:t>
            </w:r>
          </w:p>
        </w:tc>
        <w:tc>
          <w:tcPr>
            <w:tcW w:type="dxa" w:w="2736"/>
            <w:vAlign w:val="top"/>
          </w:tcPr>
          <w:p>
            <w:r>
              <w:t>Any unreviewed high-priority cases.</w:t>
            </w:r>
          </w:p>
        </w:tc>
      </w:tr>
    </w:tbl>
    <w:p>
      <w:pPr>
        <w:spacing w:after="40"/>
      </w:pPr>
    </w:p>
    <w:p>
      <w:pPr>
        <w:pStyle w:val="Heading1"/>
      </w:pPr>
      <w:r>
        <w:t>16. What Phase 17 does not claim</w:t>
      </w:r>
    </w:p>
    <w:p>
      <w:pPr>
        <w:pStyle w:val="ListBullet"/>
      </w:pPr>
      <w:r>
        <w:t>It does not claim live ABDM production access or certification.</w:t>
      </w:r>
    </w:p>
    <w:p>
      <w:pPr>
        <w:pStyle w:val="ListBullet"/>
      </w:pPr>
      <w:r>
        <w:t>It does not claim that a public GitHub reference implementation is identical to the current production contract.</w:t>
      </w:r>
    </w:p>
    <w:p>
      <w:pPr>
        <w:pStyle w:val="ListBullet"/>
      </w:pPr>
      <w:r>
        <w:t>It does not make the platform the authoritative national health-record store.</w:t>
      </w:r>
    </w:p>
    <w:p>
      <w:pPr>
        <w:pStyle w:val="ListBullet"/>
      </w:pPr>
      <w:r>
        <w:t>It does not authorize autonomous clinical decisions from imported records.</w:t>
      </w:r>
    </w:p>
    <w:p>
      <w:pPr>
        <w:pStyle w:val="ListBullet"/>
      </w:pPr>
      <w:r>
        <w:t>It does not treat a static facility registry as proof of real-time capacity or availability.</w:t>
      </w:r>
    </w:p>
    <w:p>
      <w:pPr>
        <w:pStyle w:val="Heading1"/>
      </w:pPr>
      <w:r>
        <w:t>17. Evidence and references</w:t>
      </w:r>
    </w:p>
    <w:p>
      <w:pPr>
        <w:pStyle w:val="ListBullet"/>
      </w:pPr>
      <w:r>
        <w:rPr>
          <w:b/>
        </w:rPr>
        <w:t xml:space="preserve">NRCeS. FHIR Implementation Guide for ABDM v6.5.0 — active published release; based on FHIR R4 / 4.0.1. </w:t>
      </w:r>
      <w:r>
        <w:t>https://www.nrces.in/ndhm/fhir/r4/</w:t>
      </w:r>
    </w:p>
    <w:p>
      <w:pPr>
        <w:pStyle w:val="ListBullet"/>
      </w:pPr>
      <w:r>
        <w:rPr>
          <w:b/>
        </w:rPr>
        <w:t xml:space="preserve">NRCeS. v6.5.0 Downloads — package file, profiles/value sets and examples. </w:t>
      </w:r>
      <w:r>
        <w:t>https://nrces.in/ndhm/fhir/r4/6.5.0/downloads.html</w:t>
      </w:r>
    </w:p>
    <w:p>
      <w:pPr>
        <w:pStyle w:val="ListBullet"/>
      </w:pPr>
      <w:r>
        <w:rPr>
          <w:b/>
        </w:rPr>
        <w:t xml:space="preserve">NRCeS. v6.5.0 Validation Results. </w:t>
      </w:r>
      <w:r>
        <w:t>https://www.nrces.in/ndhm/fhir/r4/qa.html</w:t>
      </w:r>
    </w:p>
    <w:p>
      <w:pPr>
        <w:pStyle w:val="ListBullet"/>
      </w:pPr>
      <w:r>
        <w:rPr>
          <w:b/>
        </w:rPr>
        <w:t xml:space="preserve">ABDM official FAQ — federated storage, Sandbox and participation. </w:t>
      </w:r>
      <w:r>
        <w:t>https://abdm.gov.in/faqs</w:t>
      </w:r>
    </w:p>
    <w:p>
      <w:pPr>
        <w:pStyle w:val="ListBullet"/>
      </w:pPr>
      <w:r>
        <w:rPr>
          <w:b/>
        </w:rPr>
        <w:t xml:space="preserve">NHA-ABDM. ABDM Wrapper — public reference implementation covering HIP/HIU, consent and health-information exchange workflows. </w:t>
      </w:r>
      <w:r>
        <w:t>https://github.com/NHA-ABDM/ABDM-wrapper</w:t>
      </w:r>
    </w:p>
    <w:p>
      <w:pPr>
        <w:pStyle w:val="Heading1"/>
      </w:pPr>
      <w:r>
        <w:t>18. Phase 17 exit gate</w:t>
      </w:r>
    </w:p>
    <w:p>
      <w:r>
        <w:t>Phase 17 is complete when the integration module can execute a fully synthetic sandbox workflow from consent request through health-information exchange, FHIR validation, provenance capture and care-journey evidence update; all negative paths are deterministic; and the external adapter can be switched between mock and authorized Sandbox configurations without changes to the domain model.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17 | Rural Care Access &amp; Continuity Orchestration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A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15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1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