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2: Exact APIs, Interoperability &amp; Data Standards</w:t>
      </w:r>
    </w:p>
    <w:p>
      <w:pPr>
        <w:jc w:val="center"/>
      </w:pPr>
      <w:r>
        <w:rPr>
          <w:i/>
        </w:rPr>
        <w:t>Production Integration Research for Rural &amp; Underserved Healthcare in India</w:t>
      </w:r>
    </w:p>
    <w:p>
      <w:pPr>
        <w:jc w:val="center"/>
      </w:pPr>
      <w:r>
        <w:t>Current-state research date: 12 September 2026</w:t>
      </w:r>
    </w:p>
    <w:p>
      <w:pPr>
        <w:pStyle w:val="Heading1"/>
      </w:pPr>
      <w:r>
        <w:t>Executive finding</w:t>
      </w:r>
    </w:p>
    <w:p>
      <w:r>
        <w:t>The technical research materially strengthens the original architecture. India has a real interoperability foundation: ABDM exposes integration pathways, HIE-CM provides consented health-information exchange, HFR/HPR provide facility and professional registries, UHI provides an open service-network model, and NRCeS publishes India-specific FHIR profiles and terminology. The proposed platform should therefore be implemented as an orchestration layer over these foundations, not as a replacement EHR or another national registry.</w:t>
      </w:r>
    </w:p>
    <w:p>
      <w:r>
        <w:t>A production implementation still needs a strict distinction between (1) publicly documented API contracts, (2) sandbox/certification interfaces, (3) standards-compatible integrations, and (4) state/facility interfaces that require onboarding or government authorization. Public documentation is strong for ABDM/FHIR/UHI concepts and reference implementations, but it is not uniformly public for every programme system. Claims about exact production endpoints must therefore remain evidence-labeled.</w:t>
      </w:r>
    </w:p>
    <w:p>
      <w:pPr>
        <w:pStyle w:val="Heading1"/>
      </w:pPr>
      <w:r>
        <w:t>Evidence classification used in this report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sz w:val="15"/>
              </w:rPr>
              <w:t>Code</w:t>
            </w:r>
          </w:p>
        </w:tc>
        <w:tc>
          <w:tcPr>
            <w:tcW w:type="dxa" w:w="5112"/>
            <w:shd w:fill="D9E2F3"/>
            <w:vAlign w:val="center"/>
          </w:tcPr>
          <w:p>
            <w:r>
              <w:rPr>
                <w:b/>
                <w:sz w:val="15"/>
              </w:rPr>
              <w:t>Meaning</w:t>
            </w:r>
          </w:p>
        </w:tc>
      </w:tr>
      <w:tr>
        <w:tc>
          <w:tcPr>
            <w:tcW w:type="dxa" w:w="5112"/>
            <w:vAlign w:val="top"/>
          </w:tcPr>
          <w:p>
            <w:r>
              <w:rPr>
                <w:sz w:val="15"/>
              </w:rPr>
              <w:t>V</w:t>
            </w:r>
          </w:p>
        </w:tc>
        <w:tc>
          <w:tcPr>
            <w:tcW w:type="dxa" w:w="5112"/>
            <w:vAlign w:val="top"/>
          </w:tcPr>
          <w:p>
            <w:r>
              <w:rPr>
                <w:sz w:val="15"/>
              </w:rPr>
              <w:t>Verified from official documentation or an official government repository/reference implementation.</w:t>
            </w:r>
          </w:p>
        </w:tc>
      </w:tr>
      <w:tr>
        <w:tc>
          <w:tcPr>
            <w:tcW w:type="dxa" w:w="5112"/>
            <w:vAlign w:val="top"/>
          </w:tcPr>
          <w:p>
            <w:r>
              <w:rPr>
                <w:sz w:val="15"/>
              </w:rPr>
              <w:t>S</w:t>
            </w:r>
          </w:p>
        </w:tc>
        <w:tc>
          <w:tcPr>
            <w:tcW w:type="dxa" w:w="5112"/>
            <w:vAlign w:val="top"/>
          </w:tcPr>
          <w:p>
            <w:r>
              <w:rPr>
                <w:sz w:val="15"/>
              </w:rPr>
              <w:t>Standards/architecture explicitly support the integration, but exact production endpoint or deployment contract is dependent on onboarding/configuration.</w:t>
            </w:r>
          </w:p>
        </w:tc>
      </w:tr>
      <w:tr>
        <w:tc>
          <w:tcPr>
            <w:tcW w:type="dxa" w:w="5112"/>
            <w:vAlign w:val="top"/>
          </w:tcPr>
          <w:p>
            <w:r>
              <w:rPr>
                <w:sz w:val="15"/>
              </w:rPr>
              <w:t>D</w:t>
            </w:r>
          </w:p>
        </w:tc>
        <w:tc>
          <w:tcPr>
            <w:tcW w:type="dxa" w:w="5112"/>
            <w:vAlign w:val="top"/>
          </w:tcPr>
          <w:p>
            <w:r>
              <w:rPr>
                <w:sz w:val="15"/>
              </w:rPr>
              <w:t>State, district or facility-dependent; a national capability exists but the concrete interface may differ.</w:t>
            </w:r>
          </w:p>
        </w:tc>
      </w:tr>
      <w:tr>
        <w:tc>
          <w:tcPr>
            <w:tcW w:type="dxa" w:w="5112"/>
            <w:vAlign w:val="top"/>
          </w:tcPr>
          <w:p>
            <w:r>
              <w:rPr>
                <w:sz w:val="15"/>
              </w:rPr>
              <w:t>R</w:t>
            </w:r>
          </w:p>
        </w:tc>
        <w:tc>
          <w:tcPr>
            <w:tcW w:type="dxa" w:w="5112"/>
            <w:vAlign w:val="top"/>
          </w:tcPr>
          <w:p>
            <w:r>
              <w:rPr>
                <w:sz w:val="15"/>
              </w:rPr>
              <w:t>Requires onboarding, credentials, certification, government approval or controlled access; public documentation is not equivalent to public production access.</w:t>
            </w:r>
          </w:p>
        </w:tc>
      </w:tr>
      <w:tr>
        <w:tc>
          <w:tcPr>
            <w:tcW w:type="dxa" w:w="5112"/>
            <w:vAlign w:val="top"/>
          </w:tcPr>
          <w:p>
            <w:r>
              <w:rPr>
                <w:sz w:val="15"/>
              </w:rPr>
              <w:t>U</w:t>
            </w:r>
          </w:p>
        </w:tc>
        <w:tc>
          <w:tcPr>
            <w:tcW w:type="dxa" w:w="5112"/>
            <w:vAlign w:val="top"/>
          </w:tcPr>
          <w:p>
            <w:r>
              <w:rPr>
                <w:sz w:val="15"/>
              </w:rPr>
              <w:t>Public technical detail is insufficient to state an exact production interface safely; must be verified with the system owner.</w:t>
            </w:r>
          </w:p>
        </w:tc>
      </w:tr>
    </w:tbl>
    <w:p/>
    <w:p>
      <w:pPr>
        <w:pStyle w:val="Heading1"/>
      </w:pPr>
      <w:r>
        <w:t>1. ABDM API architecture</w:t>
      </w:r>
    </w:p>
    <w:p>
      <w:r>
        <w:t>ABDM integration is organized into milestones. The NHA-ABDM reference wrapper identifies three core milestones: M1 for ABHA identity creation/verification, M2 for linking/exporting health data, and M3 for consent requests/importing data from other applications. The wrapper is explicitly designed to run on/alongside an HMIS or facility and exposes interfaces that the existing facility system invokes, while receiving gateway callbacks behind the facility firewall. [1]</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rPr>
                <w:b/>
                <w:sz w:val="15"/>
              </w:rPr>
              <w:t>Milestone</w:t>
            </w:r>
          </w:p>
        </w:tc>
        <w:tc>
          <w:tcPr>
            <w:tcW w:type="dxa" w:w="2556"/>
            <w:shd w:fill="D9E2F3"/>
            <w:vAlign w:val="center"/>
          </w:tcPr>
          <w:p>
            <w:r>
              <w:rPr>
                <w:b/>
                <w:sz w:val="15"/>
              </w:rPr>
              <w:t>Primary role</w:t>
            </w:r>
          </w:p>
        </w:tc>
        <w:tc>
          <w:tcPr>
            <w:tcW w:type="dxa" w:w="2556"/>
            <w:shd w:fill="D9E2F3"/>
            <w:vAlign w:val="center"/>
          </w:tcPr>
          <w:p>
            <w:r>
              <w:rPr>
                <w:b/>
                <w:sz w:val="15"/>
              </w:rPr>
              <w:t>Relevant workflows for our platform</w:t>
            </w:r>
          </w:p>
        </w:tc>
        <w:tc>
          <w:tcPr>
            <w:tcW w:type="dxa" w:w="2556"/>
            <w:shd w:fill="D9E2F3"/>
            <w:vAlign w:val="center"/>
          </w:tcPr>
          <w:p>
            <w:r>
              <w:rPr>
                <w:b/>
                <w:sz w:val="15"/>
              </w:rPr>
              <w:t>Production implication</w:t>
            </w:r>
          </w:p>
        </w:tc>
      </w:tr>
      <w:tr>
        <w:tc>
          <w:tcPr>
            <w:tcW w:type="dxa" w:w="2556"/>
            <w:vAlign w:val="top"/>
          </w:tcPr>
          <w:p>
            <w:r>
              <w:rPr>
                <w:sz w:val="15"/>
              </w:rPr>
              <w:t>M1</w:t>
            </w:r>
          </w:p>
        </w:tc>
        <w:tc>
          <w:tcPr>
            <w:tcW w:type="dxa" w:w="2556"/>
            <w:vAlign w:val="top"/>
          </w:tcPr>
          <w:p>
            <w:r>
              <w:rPr>
                <w:sz w:val="15"/>
              </w:rPr>
              <w:t>ABHA creation, verification and identity linking</w:t>
            </w:r>
          </w:p>
        </w:tc>
        <w:tc>
          <w:tcPr>
            <w:tcW w:type="dxa" w:w="2556"/>
            <w:vAlign w:val="top"/>
          </w:tcPr>
          <w:p>
            <w:r>
              <w:rPr>
                <w:sz w:val="15"/>
              </w:rPr>
              <w:t>Patient identity resolution; login; ABHA-aware onboarding</w:t>
            </w:r>
          </w:p>
        </w:tc>
        <w:tc>
          <w:tcPr>
            <w:tcW w:type="dxa" w:w="2556"/>
            <w:vAlign w:val="top"/>
          </w:tcPr>
          <w:p>
            <w:r>
              <w:rPr>
                <w:sz w:val="15"/>
              </w:rPr>
              <w:t>Use ABDM identity; do not create a parallel national ID</w:t>
            </w:r>
          </w:p>
        </w:tc>
      </w:tr>
      <w:tr>
        <w:tc>
          <w:tcPr>
            <w:tcW w:type="dxa" w:w="2556"/>
            <w:vAlign w:val="top"/>
          </w:tcPr>
          <w:p>
            <w:r>
              <w:rPr>
                <w:sz w:val="15"/>
              </w:rPr>
              <w:t>M2</w:t>
            </w:r>
          </w:p>
        </w:tc>
        <w:tc>
          <w:tcPr>
            <w:tcW w:type="dxa" w:w="2556"/>
            <w:vAlign w:val="top"/>
          </w:tcPr>
          <w:p>
            <w:r>
              <w:rPr>
                <w:sz w:val="15"/>
              </w:rPr>
              <w:t>HIP-side linking and exporting health data</w:t>
            </w:r>
          </w:p>
        </w:tc>
        <w:tc>
          <w:tcPr>
            <w:tcW w:type="dxa" w:w="2556"/>
            <w:vAlign w:val="top"/>
          </w:tcPr>
          <w:p>
            <w:r>
              <w:rPr>
                <w:sz w:val="15"/>
              </w:rPr>
              <w:t>Link care contexts; notify new records; respond to data requests</w:t>
            </w:r>
          </w:p>
        </w:tc>
        <w:tc>
          <w:tcPr>
            <w:tcW w:type="dxa" w:w="2556"/>
            <w:vAlign w:val="top"/>
          </w:tcPr>
          <w:p>
            <w:r>
              <w:rPr>
                <w:sz w:val="15"/>
              </w:rPr>
              <w:t>Our platform can participate as HIP only if it actually holds authoritative records for a defined provider/facility context</w:t>
            </w:r>
          </w:p>
        </w:tc>
      </w:tr>
      <w:tr>
        <w:tc>
          <w:tcPr>
            <w:tcW w:type="dxa" w:w="2556"/>
            <w:vAlign w:val="top"/>
          </w:tcPr>
          <w:p>
            <w:r>
              <w:rPr>
                <w:sz w:val="15"/>
              </w:rPr>
              <w:t>M3</w:t>
            </w:r>
          </w:p>
        </w:tc>
        <w:tc>
          <w:tcPr>
            <w:tcW w:type="dxa" w:w="2556"/>
            <w:vAlign w:val="top"/>
          </w:tcPr>
          <w:p>
            <w:r>
              <w:rPr>
                <w:sz w:val="15"/>
              </w:rPr>
              <w:t>HIU-side consent and data retrieval</w:t>
            </w:r>
          </w:p>
        </w:tc>
        <w:tc>
          <w:tcPr>
            <w:tcW w:type="dxa" w:w="2556"/>
            <w:vAlign w:val="top"/>
          </w:tcPr>
          <w:p>
            <w:r>
              <w:rPr>
                <w:sz w:val="15"/>
              </w:rPr>
              <w:t>Consent request; fetch longitudinal records from participating HIPs</w:t>
            </w:r>
          </w:p>
        </w:tc>
        <w:tc>
          <w:tcPr>
            <w:tcW w:type="dxa" w:w="2556"/>
            <w:vAlign w:val="top"/>
          </w:tcPr>
          <w:p>
            <w:r>
              <w:rPr>
                <w:sz w:val="15"/>
              </w:rPr>
              <w:t>Our care orchestrator can act as an HIU where justified, but access must remain consent-based and purpose-bound</w:t>
            </w:r>
          </w:p>
        </w:tc>
      </w:tr>
      <w:tr>
        <w:tc>
          <w:tcPr>
            <w:tcW w:type="dxa" w:w="2556"/>
            <w:vAlign w:val="top"/>
          </w:tcPr>
          <w:p>
            <w:r>
              <w:rPr>
                <w:sz w:val="15"/>
              </w:rPr>
              <w:t>M4 (registry onboarding)</w:t>
            </w:r>
          </w:p>
        </w:tc>
        <w:tc>
          <w:tcPr>
            <w:tcW w:type="dxa" w:w="2556"/>
            <w:vAlign w:val="top"/>
          </w:tcPr>
          <w:p>
            <w:r>
              <w:rPr>
                <w:sz w:val="15"/>
              </w:rPr>
              <w:t>HPR/HFR registration and facility onboarding</w:t>
            </w:r>
          </w:p>
        </w:tc>
        <w:tc>
          <w:tcPr>
            <w:tcW w:type="dxa" w:w="2556"/>
            <w:vAlign w:val="top"/>
          </w:tcPr>
          <w:p>
            <w:r>
              <w:rPr>
                <w:sz w:val="15"/>
              </w:rPr>
              <w:t>Provider/facility discovery and identity</w:t>
            </w:r>
          </w:p>
        </w:tc>
        <w:tc>
          <w:tcPr>
            <w:tcW w:type="dxa" w:w="2556"/>
            <w:vAlign w:val="top"/>
          </w:tcPr>
          <w:p>
            <w:r>
              <w:rPr>
                <w:sz w:val="15"/>
              </w:rPr>
              <w:t>Prefer consuming HPR/HFR instead of building a duplicate registry</w:t>
            </w:r>
          </w:p>
        </w:tc>
      </w:tr>
    </w:tbl>
    <w:p/>
    <w:p>
      <w:pPr>
        <w:pStyle w:val="Heading1"/>
      </w:pPr>
      <w:r>
        <w:t>2. Concrete ABDM gateway interface evidence</w:t>
      </w:r>
    </w:p>
    <w:p>
      <w:r>
        <w:t>The official NHA-ABDM open-source wrapper includes a concrete sandbox HIE-CM gateway flow. Its reference documentation shows session-token creation at /api/hiecm/gateway/v3/sessions using clientId/clientSecret and grantType=client_credentials, bridge registration at /api/hiecm/gateway/v3/bridge/url, and bridge-service discovery at /api/hiecm/gateway/v3/bridge-services. The wrapper also documents facility/HIP/HIU callback handling and FHIR mapping. [1]</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2F3"/>
            <w:vAlign w:val="center"/>
          </w:tcPr>
          <w:p>
            <w:r>
              <w:rPr>
                <w:b/>
                <w:sz w:val="15"/>
              </w:rPr>
              <w:t>Interface</w:t>
            </w:r>
          </w:p>
        </w:tc>
        <w:tc>
          <w:tcPr>
            <w:tcW w:type="dxa" w:w="2045"/>
            <w:shd w:fill="D9E2F3"/>
            <w:vAlign w:val="center"/>
          </w:tcPr>
          <w:p>
            <w:r>
              <w:rPr>
                <w:b/>
                <w:sz w:val="15"/>
              </w:rPr>
              <w:t>Method</w:t>
            </w:r>
          </w:p>
        </w:tc>
        <w:tc>
          <w:tcPr>
            <w:tcW w:type="dxa" w:w="2045"/>
            <w:shd w:fill="D9E2F3"/>
            <w:vAlign w:val="center"/>
          </w:tcPr>
          <w:p>
            <w:r>
              <w:rPr>
                <w:b/>
                <w:sz w:val="15"/>
              </w:rPr>
              <w:t>Purpose</w:t>
            </w:r>
          </w:p>
        </w:tc>
        <w:tc>
          <w:tcPr>
            <w:tcW w:type="dxa" w:w="2045"/>
            <w:shd w:fill="D9E2F3"/>
            <w:vAlign w:val="center"/>
          </w:tcPr>
          <w:p>
            <w:r>
              <w:rPr>
                <w:b/>
                <w:sz w:val="15"/>
              </w:rPr>
              <w:t>Evidence</w:t>
            </w:r>
          </w:p>
        </w:tc>
        <w:tc>
          <w:tcPr>
            <w:tcW w:type="dxa" w:w="2045"/>
            <w:shd w:fill="D9E2F3"/>
            <w:vAlign w:val="center"/>
          </w:tcPr>
          <w:p>
            <w:r>
              <w:rPr>
                <w:b/>
                <w:sz w:val="15"/>
              </w:rPr>
              <w:t>Use in our platform</w:t>
            </w:r>
          </w:p>
        </w:tc>
      </w:tr>
      <w:tr>
        <w:tc>
          <w:tcPr>
            <w:tcW w:type="dxa" w:w="2045"/>
            <w:vAlign w:val="top"/>
          </w:tcPr>
          <w:p>
            <w:r>
              <w:rPr>
                <w:sz w:val="15"/>
              </w:rPr>
              <w:t>/api/hiecm/gateway/v3/sessions</w:t>
            </w:r>
          </w:p>
        </w:tc>
        <w:tc>
          <w:tcPr>
            <w:tcW w:type="dxa" w:w="2045"/>
            <w:vAlign w:val="top"/>
          </w:tcPr>
          <w:p>
            <w:r>
              <w:rPr>
                <w:sz w:val="15"/>
              </w:rPr>
              <w:t>POST</w:t>
            </w:r>
          </w:p>
        </w:tc>
        <w:tc>
          <w:tcPr>
            <w:tcW w:type="dxa" w:w="2045"/>
            <w:vAlign w:val="top"/>
          </w:tcPr>
          <w:p>
            <w:r>
              <w:rPr>
                <w:sz w:val="15"/>
              </w:rPr>
              <w:t>Obtain gateway access token for HIE-CM integration</w:t>
            </w:r>
          </w:p>
        </w:tc>
        <w:tc>
          <w:tcPr>
            <w:tcW w:type="dxa" w:w="2045"/>
            <w:vAlign w:val="top"/>
          </w:tcPr>
          <w:p>
            <w:r>
              <w:rPr>
                <w:sz w:val="15"/>
              </w:rPr>
              <w:t>V — official NHA-ABDM wrapper reference</w:t>
            </w:r>
          </w:p>
        </w:tc>
        <w:tc>
          <w:tcPr>
            <w:tcW w:type="dxa" w:w="2045"/>
            <w:vAlign w:val="top"/>
          </w:tcPr>
          <w:p>
            <w:r>
              <w:rPr>
                <w:sz w:val="15"/>
              </w:rPr>
              <w:t>Only through approved ABDM onboarding; store secrets server-side</w:t>
            </w:r>
          </w:p>
        </w:tc>
      </w:tr>
      <w:tr>
        <w:tc>
          <w:tcPr>
            <w:tcW w:type="dxa" w:w="2045"/>
            <w:vAlign w:val="top"/>
          </w:tcPr>
          <w:p>
            <w:r>
              <w:rPr>
                <w:sz w:val="15"/>
              </w:rPr>
              <w:t>/api/hiecm/gateway/v3/bridge/url</w:t>
            </w:r>
          </w:p>
        </w:tc>
        <w:tc>
          <w:tcPr>
            <w:tcW w:type="dxa" w:w="2045"/>
            <w:vAlign w:val="top"/>
          </w:tcPr>
          <w:p>
            <w:r>
              <w:rPr>
                <w:sz w:val="15"/>
              </w:rPr>
              <w:t>PATCH</w:t>
            </w:r>
          </w:p>
        </w:tc>
        <w:tc>
          <w:tcPr>
            <w:tcW w:type="dxa" w:w="2045"/>
            <w:vAlign w:val="top"/>
          </w:tcPr>
          <w:p>
            <w:r>
              <w:rPr>
                <w:sz w:val="15"/>
              </w:rPr>
              <w:t>Register/update callback bridge URL</w:t>
            </w:r>
          </w:p>
        </w:tc>
        <w:tc>
          <w:tcPr>
            <w:tcW w:type="dxa" w:w="2045"/>
            <w:vAlign w:val="top"/>
          </w:tcPr>
          <w:p>
            <w:r>
              <w:rPr>
                <w:sz w:val="15"/>
              </w:rPr>
              <w:t>V — official NHA-ABDM wrapper reference</w:t>
            </w:r>
          </w:p>
        </w:tc>
        <w:tc>
          <w:tcPr>
            <w:tcW w:type="dxa" w:w="2045"/>
            <w:vAlign w:val="top"/>
          </w:tcPr>
          <w:p>
            <w:r>
              <w:rPr>
                <w:sz w:val="15"/>
              </w:rPr>
              <w:t>Required only if we operate a bridge/callback integration</w:t>
            </w:r>
          </w:p>
        </w:tc>
      </w:tr>
      <w:tr>
        <w:tc>
          <w:tcPr>
            <w:tcW w:type="dxa" w:w="2045"/>
            <w:vAlign w:val="top"/>
          </w:tcPr>
          <w:p>
            <w:r>
              <w:rPr>
                <w:sz w:val="15"/>
              </w:rPr>
              <w:t>/api/hiecm/gateway/v3/bridge-services</w:t>
            </w:r>
          </w:p>
        </w:tc>
        <w:tc>
          <w:tcPr>
            <w:tcW w:type="dxa" w:w="2045"/>
            <w:vAlign w:val="top"/>
          </w:tcPr>
          <w:p>
            <w:r>
              <w:rPr>
                <w:sz w:val="15"/>
              </w:rPr>
              <w:t>GET</w:t>
            </w:r>
          </w:p>
        </w:tc>
        <w:tc>
          <w:tcPr>
            <w:tcW w:type="dxa" w:w="2045"/>
            <w:vAlign w:val="top"/>
          </w:tcPr>
          <w:p>
            <w:r>
              <w:rPr>
                <w:sz w:val="15"/>
              </w:rPr>
              <w:t>Inspect bridge/facility services</w:t>
            </w:r>
          </w:p>
        </w:tc>
        <w:tc>
          <w:tcPr>
            <w:tcW w:type="dxa" w:w="2045"/>
            <w:vAlign w:val="top"/>
          </w:tcPr>
          <w:p>
            <w:r>
              <w:rPr>
                <w:sz w:val="15"/>
              </w:rPr>
              <w:t>V — official NHA-ABDM wrapper reference</w:t>
            </w:r>
          </w:p>
        </w:tc>
        <w:tc>
          <w:tcPr>
            <w:tcW w:type="dxa" w:w="2045"/>
            <w:vAlign w:val="top"/>
          </w:tcPr>
          <w:p>
            <w:r>
              <w:rPr>
                <w:sz w:val="15"/>
              </w:rPr>
              <w:t>Operational health/registration visibility</w:t>
            </w:r>
          </w:p>
        </w:tc>
      </w:tr>
      <w:tr>
        <w:tc>
          <w:tcPr>
            <w:tcW w:type="dxa" w:w="2045"/>
            <w:vAlign w:val="top"/>
          </w:tcPr>
          <w:p>
            <w:r>
              <w:rPr>
                <w:sz w:val="15"/>
              </w:rPr>
              <w:t>Care-context discovery/linking flows</w:t>
            </w:r>
          </w:p>
        </w:tc>
        <w:tc>
          <w:tcPr>
            <w:tcW w:type="dxa" w:w="2045"/>
            <w:vAlign w:val="top"/>
          </w:tcPr>
          <w:p>
            <w:r>
              <w:rPr>
                <w:sz w:val="15"/>
              </w:rPr>
              <w:t>POST callbacks / gateway flows</w:t>
            </w:r>
          </w:p>
        </w:tc>
        <w:tc>
          <w:tcPr>
            <w:tcW w:type="dxa" w:w="2045"/>
            <w:vAlign w:val="top"/>
          </w:tcPr>
          <w:p>
            <w:r>
              <w:rPr>
                <w:sz w:val="15"/>
              </w:rPr>
              <w:t>Discover and link patient care contexts</w:t>
            </w:r>
          </w:p>
        </w:tc>
        <w:tc>
          <w:tcPr>
            <w:tcW w:type="dxa" w:w="2045"/>
            <w:vAlign w:val="top"/>
          </w:tcPr>
          <w:p>
            <w:r>
              <w:rPr>
                <w:sz w:val="15"/>
              </w:rPr>
              <w:t>V/S — official wrapper + published API references</w:t>
            </w:r>
          </w:p>
        </w:tc>
        <w:tc>
          <w:tcPr>
            <w:tcW w:type="dxa" w:w="2045"/>
            <w:vAlign w:val="top"/>
          </w:tcPr>
          <w:p>
            <w:r>
              <w:rPr>
                <w:sz w:val="15"/>
              </w:rPr>
              <w:t>Use to connect a patient to provider-owned records</w:t>
            </w:r>
          </w:p>
        </w:tc>
      </w:tr>
      <w:tr>
        <w:tc>
          <w:tcPr>
            <w:tcW w:type="dxa" w:w="2045"/>
            <w:vAlign w:val="top"/>
          </w:tcPr>
          <w:p>
            <w:r>
              <w:rPr>
                <w:sz w:val="15"/>
              </w:rPr>
              <w:t>Consent notification/data-flow callbacks</w:t>
            </w:r>
          </w:p>
        </w:tc>
        <w:tc>
          <w:tcPr>
            <w:tcW w:type="dxa" w:w="2045"/>
            <w:vAlign w:val="top"/>
          </w:tcPr>
          <w:p>
            <w:r>
              <w:rPr>
                <w:sz w:val="15"/>
              </w:rPr>
              <w:t>POST callbacks</w:t>
            </w:r>
          </w:p>
        </w:tc>
        <w:tc>
          <w:tcPr>
            <w:tcW w:type="dxa" w:w="2045"/>
            <w:vAlign w:val="top"/>
          </w:tcPr>
          <w:p>
            <w:r>
              <w:rPr>
                <w:sz w:val="15"/>
              </w:rPr>
              <w:t>Consent and health-information exchange notifications</w:t>
            </w:r>
          </w:p>
        </w:tc>
        <w:tc>
          <w:tcPr>
            <w:tcW w:type="dxa" w:w="2045"/>
            <w:vAlign w:val="top"/>
          </w:tcPr>
          <w:p>
            <w:r>
              <w:rPr>
                <w:sz w:val="15"/>
              </w:rPr>
              <w:t>V/S — official wrapper + published API references</w:t>
            </w:r>
          </w:p>
        </w:tc>
        <w:tc>
          <w:tcPr>
            <w:tcW w:type="dxa" w:w="2045"/>
            <w:vAlign w:val="top"/>
          </w:tcPr>
          <w:p>
            <w:r>
              <w:rPr>
                <w:sz w:val="15"/>
              </w:rPr>
              <w:t>Use for longitudinal record retrieval with consent</w:t>
            </w:r>
          </w:p>
        </w:tc>
      </w:tr>
    </w:tbl>
    <w:p/>
    <w:p>
      <w:r>
        <w:t>Important: the exact paths above are reference implementation evidence, not a blanket statement that every endpoint is freely callable from an arbitrary application. ABDM requires sandbox testing and functional validation/certification before participation in its ecosystem. [2]</w:t>
      </w:r>
    </w:p>
    <w:p>
      <w:pPr>
        <w:pStyle w:val="Heading1"/>
      </w:pPr>
      <w:r>
        <w:t>3. HFR and HPR interfaces</w:t>
      </w:r>
    </w:p>
    <w:p>
      <w:r>
        <w:t>The ABDM ecosystem exposes programmatic registration and search for healthcare professionals and facilities. Public implementation material documents HPR authentication and HFR search/create/link workflows, including a facility creation endpoint in the sandbox and gateway bridge registration. The NHA FAQ confirms that applications can integrate with HFR/HPR APIs and that these registries are intended as building blocks for interoperable digital-health solutions. [3][4]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2F3"/>
            <w:vAlign w:val="center"/>
          </w:tcPr>
          <w:p>
            <w:r>
              <w:rPr>
                <w:b/>
                <w:sz w:val="15"/>
              </w:rPr>
              <w:t>Registry</w:t>
            </w:r>
          </w:p>
        </w:tc>
        <w:tc>
          <w:tcPr>
            <w:tcW w:type="dxa" w:w="2045"/>
            <w:shd w:fill="D9E2F3"/>
            <w:vAlign w:val="center"/>
          </w:tcPr>
          <w:p>
            <w:r>
              <w:rPr>
                <w:b/>
                <w:sz w:val="15"/>
              </w:rPr>
              <w:t>Production role</w:t>
            </w:r>
          </w:p>
        </w:tc>
        <w:tc>
          <w:tcPr>
            <w:tcW w:type="dxa" w:w="2045"/>
            <w:shd w:fill="D9E2F3"/>
            <w:vAlign w:val="center"/>
          </w:tcPr>
          <w:p>
            <w:r>
              <w:rPr>
                <w:b/>
                <w:sz w:val="15"/>
              </w:rPr>
              <w:t>Key identifier</w:t>
            </w:r>
          </w:p>
        </w:tc>
        <w:tc>
          <w:tcPr>
            <w:tcW w:type="dxa" w:w="2045"/>
            <w:shd w:fill="D9E2F3"/>
            <w:vAlign w:val="center"/>
          </w:tcPr>
          <w:p>
            <w:r>
              <w:rPr>
                <w:b/>
                <w:sz w:val="15"/>
              </w:rPr>
              <w:t>Representative interface evidence</w:t>
            </w:r>
          </w:p>
        </w:tc>
        <w:tc>
          <w:tcPr>
            <w:tcW w:type="dxa" w:w="2045"/>
            <w:shd w:fill="D9E2F3"/>
            <w:vAlign w:val="center"/>
          </w:tcPr>
          <w:p>
            <w:r>
              <w:rPr>
                <w:b/>
                <w:sz w:val="15"/>
              </w:rPr>
              <w:t>Our usage</w:t>
            </w:r>
          </w:p>
        </w:tc>
      </w:tr>
      <w:tr>
        <w:tc>
          <w:tcPr>
            <w:tcW w:type="dxa" w:w="2045"/>
            <w:vAlign w:val="top"/>
          </w:tcPr>
          <w:p>
            <w:r>
              <w:rPr>
                <w:sz w:val="15"/>
              </w:rPr>
              <w:t>HFR</w:t>
            </w:r>
          </w:p>
        </w:tc>
        <w:tc>
          <w:tcPr>
            <w:tcW w:type="dxa" w:w="2045"/>
            <w:vAlign w:val="top"/>
          </w:tcPr>
          <w:p>
            <w:r>
              <w:rPr>
                <w:sz w:val="15"/>
              </w:rPr>
              <w:t>Verified facility identity/discovery</w:t>
            </w:r>
          </w:p>
        </w:tc>
        <w:tc>
          <w:tcPr>
            <w:tcW w:type="dxa" w:w="2045"/>
            <w:vAlign w:val="top"/>
          </w:tcPr>
          <w:p>
            <w:r>
              <w:rPr>
                <w:sz w:val="15"/>
              </w:rPr>
              <w:t>HFR ID</w:t>
            </w:r>
          </w:p>
        </w:tc>
        <w:tc>
          <w:tcPr>
            <w:tcW w:type="dxa" w:w="2045"/>
            <w:vAlign w:val="top"/>
          </w:tcPr>
          <w:p>
            <w:r>
              <w:rPr>
                <w:sz w:val="15"/>
              </w:rPr>
              <w:t>Facility search/create/link APIs are documented in ABDM sandbox materials; exact current production contract must be confirmed against current Swagger before implementation</w:t>
            </w:r>
          </w:p>
        </w:tc>
        <w:tc>
          <w:tcPr>
            <w:tcW w:type="dxa" w:w="2045"/>
            <w:vAlign w:val="top"/>
          </w:tcPr>
          <w:p>
            <w:r>
              <w:rPr>
                <w:sz w:val="15"/>
              </w:rPr>
              <w:t>Facility master lookup, location and registry metadata</w:t>
            </w:r>
          </w:p>
        </w:tc>
      </w:tr>
      <w:tr>
        <w:tc>
          <w:tcPr>
            <w:tcW w:type="dxa" w:w="2045"/>
            <w:vAlign w:val="top"/>
          </w:tcPr>
          <w:p>
            <w:r>
              <w:rPr>
                <w:sz w:val="15"/>
              </w:rPr>
              <w:t>HPR</w:t>
            </w:r>
          </w:p>
        </w:tc>
        <w:tc>
          <w:tcPr>
            <w:tcW w:type="dxa" w:w="2045"/>
            <w:vAlign w:val="top"/>
          </w:tcPr>
          <w:p>
            <w:r>
              <w:rPr>
                <w:sz w:val="15"/>
              </w:rPr>
              <w:t>Verified professional identity/discovery</w:t>
            </w:r>
          </w:p>
        </w:tc>
        <w:tc>
          <w:tcPr>
            <w:tcW w:type="dxa" w:w="2045"/>
            <w:vAlign w:val="top"/>
          </w:tcPr>
          <w:p>
            <w:r>
              <w:rPr>
                <w:sz w:val="15"/>
              </w:rPr>
              <w:t>HP/HPR ID</w:t>
            </w:r>
          </w:p>
        </w:tc>
        <w:tc>
          <w:tcPr>
            <w:tcW w:type="dxa" w:w="2045"/>
            <w:vAlign w:val="top"/>
          </w:tcPr>
          <w:p>
            <w:r>
              <w:rPr>
                <w:sz w:val="15"/>
              </w:rPr>
              <w:t>HPR API documentation and authentication flow are published; exact production path/version must be validated in current API docs</w:t>
            </w:r>
          </w:p>
        </w:tc>
        <w:tc>
          <w:tcPr>
            <w:tcW w:type="dxa" w:w="2045"/>
            <w:vAlign w:val="top"/>
          </w:tcPr>
          <w:p>
            <w:r>
              <w:rPr>
                <w:sz w:val="15"/>
              </w:rPr>
              <w:t>Provider identity, credential/role lookup</w:t>
            </w:r>
          </w:p>
        </w:tc>
      </w:tr>
      <w:tr>
        <w:tc>
          <w:tcPr>
            <w:tcW w:type="dxa" w:w="2045"/>
            <w:vAlign w:val="top"/>
          </w:tcPr>
          <w:p>
            <w:r>
              <w:rPr>
                <w:sz w:val="15"/>
              </w:rPr>
              <w:t>Provider search</w:t>
            </w:r>
          </w:p>
        </w:tc>
        <w:tc>
          <w:tcPr>
            <w:tcW w:type="dxa" w:w="2045"/>
            <w:vAlign w:val="top"/>
          </w:tcPr>
          <w:p>
            <w:r>
              <w:rPr>
                <w:sz w:val="15"/>
              </w:rPr>
              <w:t>Facility/provider discoverability for compatible apps</w:t>
            </w:r>
          </w:p>
        </w:tc>
        <w:tc>
          <w:tcPr>
            <w:tcW w:type="dxa" w:w="2045"/>
            <w:vAlign w:val="top"/>
          </w:tcPr>
          <w:p>
            <w:r>
              <w:rPr>
                <w:sz w:val="15"/>
              </w:rPr>
              <w:t>HFR/HPR IDs</w:t>
            </w:r>
          </w:p>
        </w:tc>
        <w:tc>
          <w:tcPr>
            <w:tcW w:type="dxa" w:w="2045"/>
            <w:vAlign w:val="top"/>
          </w:tcPr>
          <w:p>
            <w:r>
              <w:rPr>
                <w:sz w:val="15"/>
              </w:rPr>
              <w:t>NHA challenge material documents provider search using state, district, name, geography and other criteria</w:t>
            </w:r>
          </w:p>
        </w:tc>
        <w:tc>
          <w:tcPr>
            <w:tcW w:type="dxa" w:w="2045"/>
            <w:vAlign w:val="top"/>
          </w:tcPr>
          <w:p>
            <w:r>
              <w:rPr>
                <w:sz w:val="15"/>
              </w:rPr>
              <w:t>Populate facility/provider candidates before UHI transaction</w:t>
            </w:r>
          </w:p>
        </w:tc>
      </w:tr>
    </w:tbl>
    <w:p/>
    <w:p>
      <w:pPr>
        <w:pStyle w:val="Heading1"/>
      </w:pPr>
      <w:r>
        <w:t>4. UHI API and protocol</w:t>
      </w:r>
    </w:p>
    <w:p>
      <w:r>
        <w:t>UHI is now a launched service layer under ABDM. A 29 June 2026 PIB release describes UHI as an open network through which a citizen app can discover and transact with verified service providers without requiring both parties to use the same application. It says the network uses ABHA as patient identifier and HPR/HFR for verification, with HIE for consented data sharing. [5]</w:t>
      </w:r>
    </w:p>
    <w:p>
      <w:r>
        <w:t>However, the public NHA-ABDM GitHub repository currently lists the UHI protocol specification as version 0.0.1, with the Gateway in pre-release status. This means the production architecture exists, but implementers should not hard-code assumptions from early samples without validating the currently adopted specification/version during onboarding. [6]</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2F3"/>
            <w:vAlign w:val="center"/>
          </w:tcPr>
          <w:p>
            <w:r>
              <w:rPr>
                <w:b/>
                <w:sz w:val="15"/>
              </w:rPr>
              <w:t>UHI flow</w:t>
            </w:r>
          </w:p>
        </w:tc>
        <w:tc>
          <w:tcPr>
            <w:tcW w:type="dxa" w:w="2045"/>
            <w:shd w:fill="D9E2F3"/>
            <w:vAlign w:val="center"/>
          </w:tcPr>
          <w:p>
            <w:r>
              <w:rPr>
                <w:b/>
                <w:sz w:val="15"/>
              </w:rPr>
              <w:t>Protocol action</w:t>
            </w:r>
          </w:p>
        </w:tc>
        <w:tc>
          <w:tcPr>
            <w:tcW w:type="dxa" w:w="2045"/>
            <w:shd w:fill="D9E2F3"/>
            <w:vAlign w:val="center"/>
          </w:tcPr>
          <w:p>
            <w:r>
              <w:rPr>
                <w:b/>
                <w:sz w:val="15"/>
              </w:rPr>
              <w:t>What it does</w:t>
            </w:r>
          </w:p>
        </w:tc>
        <w:tc>
          <w:tcPr>
            <w:tcW w:type="dxa" w:w="2045"/>
            <w:shd w:fill="D9E2F3"/>
            <w:vAlign w:val="center"/>
          </w:tcPr>
          <w:p>
            <w:r>
              <w:rPr>
                <w:b/>
                <w:sz w:val="15"/>
              </w:rPr>
              <w:t>Inputs/outputs</w:t>
            </w:r>
          </w:p>
        </w:tc>
        <w:tc>
          <w:tcPr>
            <w:tcW w:type="dxa" w:w="2045"/>
            <w:shd w:fill="D9E2F3"/>
            <w:vAlign w:val="center"/>
          </w:tcPr>
          <w:p>
            <w:r>
              <w:rPr>
                <w:b/>
                <w:sz w:val="15"/>
              </w:rPr>
              <w:t>Our platform role</w:t>
            </w:r>
          </w:p>
        </w:tc>
      </w:tr>
      <w:tr>
        <w:tc>
          <w:tcPr>
            <w:tcW w:type="dxa" w:w="2045"/>
            <w:vAlign w:val="top"/>
          </w:tcPr>
          <w:p>
            <w:r>
              <w:rPr>
                <w:sz w:val="15"/>
              </w:rPr>
              <w:t>Discovery</w:t>
            </w:r>
          </w:p>
        </w:tc>
        <w:tc>
          <w:tcPr>
            <w:tcW w:type="dxa" w:w="2045"/>
            <w:vAlign w:val="top"/>
          </w:tcPr>
          <w:p>
            <w:r>
              <w:rPr>
                <w:sz w:val="15"/>
              </w:rPr>
              <w:t>/search → /on_search</w:t>
            </w:r>
          </w:p>
        </w:tc>
        <w:tc>
          <w:tcPr>
            <w:tcW w:type="dxa" w:w="2045"/>
            <w:vAlign w:val="top"/>
          </w:tcPr>
          <w:p>
            <w:r>
              <w:rPr>
                <w:sz w:val="15"/>
              </w:rPr>
              <w:t>Find matching service providers</w:t>
            </w:r>
          </w:p>
        </w:tc>
        <w:tc>
          <w:tcPr>
            <w:tcW w:type="dxa" w:w="2045"/>
            <w:vAlign w:val="top"/>
          </w:tcPr>
          <w:p>
            <w:r>
              <w:rPr>
                <w:sz w:val="15"/>
              </w:rPr>
              <w:t>Search intent; provider/service results</w:t>
            </w:r>
          </w:p>
        </w:tc>
        <w:tc>
          <w:tcPr>
            <w:tcW w:type="dxa" w:w="2045"/>
            <w:vAlign w:val="top"/>
          </w:tcPr>
          <w:p>
            <w:r>
              <w:rPr>
                <w:sz w:val="15"/>
              </w:rPr>
              <w:t>Translate care need into a structured search request</w:t>
            </w:r>
          </w:p>
        </w:tc>
      </w:tr>
      <w:tr>
        <w:tc>
          <w:tcPr>
            <w:tcW w:type="dxa" w:w="2045"/>
            <w:vAlign w:val="top"/>
          </w:tcPr>
          <w:p>
            <w:r>
              <w:rPr>
                <w:sz w:val="15"/>
              </w:rPr>
              <w:t>Provider detail</w:t>
            </w:r>
          </w:p>
        </w:tc>
        <w:tc>
          <w:tcPr>
            <w:tcW w:type="dxa" w:w="2045"/>
            <w:vAlign w:val="top"/>
          </w:tcPr>
          <w:p>
            <w:r>
              <w:rPr>
                <w:sz w:val="15"/>
              </w:rPr>
              <w:t>HPR/HFR lookup</w:t>
            </w:r>
          </w:p>
        </w:tc>
        <w:tc>
          <w:tcPr>
            <w:tcW w:type="dxa" w:w="2045"/>
            <w:vAlign w:val="top"/>
          </w:tcPr>
          <w:p>
            <w:r>
              <w:rPr>
                <w:sz w:val="15"/>
              </w:rPr>
              <w:t>Retrieve verified provider/facility details</w:t>
            </w:r>
          </w:p>
        </w:tc>
        <w:tc>
          <w:tcPr>
            <w:tcW w:type="dxa" w:w="2045"/>
            <w:vAlign w:val="top"/>
          </w:tcPr>
          <w:p>
            <w:r>
              <w:rPr>
                <w:sz w:val="15"/>
              </w:rPr>
              <w:t>HPID/HFR-based details</w:t>
            </w:r>
          </w:p>
        </w:tc>
        <w:tc>
          <w:tcPr>
            <w:tcW w:type="dxa" w:w="2045"/>
            <w:vAlign w:val="top"/>
          </w:tcPr>
          <w:p>
            <w:r>
              <w:rPr>
                <w:sz w:val="15"/>
              </w:rPr>
              <w:t>Use verified identity/metadata</w:t>
            </w:r>
          </w:p>
        </w:tc>
      </w:tr>
      <w:tr>
        <w:tc>
          <w:tcPr>
            <w:tcW w:type="dxa" w:w="2045"/>
            <w:vAlign w:val="top"/>
          </w:tcPr>
          <w:p>
            <w:r>
              <w:rPr>
                <w:sz w:val="15"/>
              </w:rPr>
              <w:t>Initialization</w:t>
            </w:r>
          </w:p>
        </w:tc>
        <w:tc>
          <w:tcPr>
            <w:tcW w:type="dxa" w:w="2045"/>
            <w:vAlign w:val="top"/>
          </w:tcPr>
          <w:p>
            <w:r>
              <w:rPr>
                <w:sz w:val="15"/>
              </w:rPr>
              <w:t>/init → /on_init</w:t>
            </w:r>
          </w:p>
        </w:tc>
        <w:tc>
          <w:tcPr>
            <w:tcW w:type="dxa" w:w="2045"/>
            <w:vAlign w:val="top"/>
          </w:tcPr>
          <w:p>
            <w:r>
              <w:rPr>
                <w:sz w:val="15"/>
              </w:rPr>
              <w:t>Create the transaction/booking context</w:t>
            </w:r>
          </w:p>
        </w:tc>
        <w:tc>
          <w:tcPr>
            <w:tcW w:type="dxa" w:w="2045"/>
            <w:vAlign w:val="top"/>
          </w:tcPr>
          <w:p>
            <w:r>
              <w:rPr>
                <w:sz w:val="15"/>
              </w:rPr>
              <w:t>Fulfilment/booking details; quote/payment terms where relevant</w:t>
            </w:r>
          </w:p>
        </w:tc>
        <w:tc>
          <w:tcPr>
            <w:tcW w:type="dxa" w:w="2045"/>
            <w:vAlign w:val="top"/>
          </w:tcPr>
          <w:p>
            <w:r>
              <w:rPr>
                <w:sz w:val="15"/>
              </w:rPr>
              <w:t>Create booking only after care decision</w:t>
            </w:r>
          </w:p>
        </w:tc>
      </w:tr>
      <w:tr>
        <w:tc>
          <w:tcPr>
            <w:tcW w:type="dxa" w:w="2045"/>
            <w:vAlign w:val="top"/>
          </w:tcPr>
          <w:p>
            <w:r>
              <w:rPr>
                <w:sz w:val="15"/>
              </w:rPr>
              <w:t>Confirmation</w:t>
            </w:r>
          </w:p>
        </w:tc>
        <w:tc>
          <w:tcPr>
            <w:tcW w:type="dxa" w:w="2045"/>
            <w:vAlign w:val="top"/>
          </w:tcPr>
          <w:p>
            <w:r>
              <w:rPr>
                <w:sz w:val="15"/>
              </w:rPr>
              <w:t>/confirm → /on_confirm</w:t>
            </w:r>
          </w:p>
        </w:tc>
        <w:tc>
          <w:tcPr>
            <w:tcW w:type="dxa" w:w="2045"/>
            <w:vAlign w:val="top"/>
          </w:tcPr>
          <w:p>
            <w:r>
              <w:rPr>
                <w:sz w:val="15"/>
              </w:rPr>
              <w:t>Confirm order/appointment/fulfilment</w:t>
            </w:r>
          </w:p>
        </w:tc>
        <w:tc>
          <w:tcPr>
            <w:tcW w:type="dxa" w:w="2045"/>
            <w:vAlign w:val="top"/>
          </w:tcPr>
          <w:p>
            <w:r>
              <w:rPr>
                <w:sz w:val="15"/>
              </w:rPr>
              <w:t>Confirmation/order/fulfilment status</w:t>
            </w:r>
          </w:p>
        </w:tc>
        <w:tc>
          <w:tcPr>
            <w:tcW w:type="dxa" w:w="2045"/>
            <w:vAlign w:val="top"/>
          </w:tcPr>
          <w:p>
            <w:r>
              <w:rPr>
                <w:sz w:val="15"/>
              </w:rPr>
              <w:t>Advance care journey to scheduled/confirmed</w:t>
            </w:r>
          </w:p>
        </w:tc>
      </w:tr>
      <w:tr>
        <w:tc>
          <w:tcPr>
            <w:tcW w:type="dxa" w:w="2045"/>
            <w:vAlign w:val="top"/>
          </w:tcPr>
          <w:p>
            <w:r>
              <w:rPr>
                <w:sz w:val="15"/>
              </w:rPr>
              <w:t>Fulfilment/status</w:t>
            </w:r>
          </w:p>
        </w:tc>
        <w:tc>
          <w:tcPr>
            <w:tcW w:type="dxa" w:w="2045"/>
            <w:vAlign w:val="top"/>
          </w:tcPr>
          <w:p>
            <w:r>
              <w:rPr>
                <w:sz w:val="15"/>
              </w:rPr>
              <w:t>Domain-specific callbacks/events</w:t>
            </w:r>
          </w:p>
        </w:tc>
        <w:tc>
          <w:tcPr>
            <w:tcW w:type="dxa" w:w="2045"/>
            <w:vAlign w:val="top"/>
          </w:tcPr>
          <w:p>
            <w:r>
              <w:rPr>
                <w:sz w:val="15"/>
              </w:rPr>
              <w:t>Track delivery of requested service</w:t>
            </w:r>
          </w:p>
        </w:tc>
        <w:tc>
          <w:tcPr>
            <w:tcW w:type="dxa" w:w="2045"/>
            <w:vAlign w:val="top"/>
          </w:tcPr>
          <w:p>
            <w:r>
              <w:rPr>
                <w:sz w:val="15"/>
              </w:rPr>
              <w:t>Order/fulfilment status</w:t>
            </w:r>
          </w:p>
        </w:tc>
        <w:tc>
          <w:tcPr>
            <w:tcW w:type="dxa" w:w="2045"/>
            <w:vAlign w:val="top"/>
          </w:tcPr>
          <w:p>
            <w:r>
              <w:rPr>
                <w:sz w:val="15"/>
              </w:rPr>
              <w:t>Convert provider events into journey-state changes</w:t>
            </w:r>
          </w:p>
        </w:tc>
      </w:tr>
    </w:tbl>
    <w:p/>
    <w:p>
      <w:r>
        <w:t>NHA challenge material documents search criteria including doctor name, HPID, facility, specialty, system of medicine, city, language, availability date and appointment type. It also documents analogous UHI patterns for diagnostics and ambulance discovery/booking. [7]</w:t>
      </w:r>
    </w:p>
    <w:p>
      <w:r>
        <w:t>The NHA public Postman collection includes the gateway URL https://uhigateway.abdm.gov.in/api/v1/on_search and a network-registry lookup endpoint. The collection uses signed request headers (including created/expires/digest and an Ed25519 key identifier) in its examples. Treat these examples as protocol/reference evidence rather than a substitute for current onboarding credentials or a binding production contract. [8]</w:t>
      </w:r>
    </w:p>
    <w:p>
      <w:pPr>
        <w:pStyle w:val="Heading1"/>
      </w:pPr>
      <w:r>
        <w:t>5. FHIR and India-specific health data standards</w:t>
      </w:r>
    </w:p>
    <w:p>
      <w:r>
        <w:t>NRCeS publishes the ABDM FHIR Implementation Guide. The current published release found in the official repository is v6.5.0, based on HL7 FHIR R4 / 4.0.1. A newer v7.0.0 development build was generated on 15 July 2026, also based on FHIR 4.0.1. For production implementation, the exact release mandated by the participating ABDM service/certification path should be pinned rather than assuming the newest development build. [9][10]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sz w:val="15"/>
              </w:rPr>
              <w:t>FHIR/ABDM resource/profile</w:t>
            </w:r>
          </w:p>
        </w:tc>
        <w:tc>
          <w:tcPr>
            <w:tcW w:type="dxa" w:w="3408"/>
            <w:shd w:fill="D9E2F3"/>
            <w:vAlign w:val="center"/>
          </w:tcPr>
          <w:p>
            <w:r>
              <w:rPr>
                <w:b/>
                <w:sz w:val="15"/>
              </w:rPr>
              <w:t>Meaning for our use case</w:t>
            </w:r>
          </w:p>
        </w:tc>
        <w:tc>
          <w:tcPr>
            <w:tcW w:type="dxa" w:w="3408"/>
            <w:shd w:fill="D9E2F3"/>
            <w:vAlign w:val="center"/>
          </w:tcPr>
          <w:p>
            <w:r>
              <w:rPr>
                <w:b/>
                <w:sz w:val="15"/>
              </w:rPr>
              <w:t>Example data represented</w:t>
            </w:r>
          </w:p>
        </w:tc>
      </w:tr>
      <w:tr>
        <w:tc>
          <w:tcPr>
            <w:tcW w:type="dxa" w:w="3408"/>
            <w:vAlign w:val="top"/>
          </w:tcPr>
          <w:p>
            <w:r>
              <w:rPr>
                <w:sz w:val="15"/>
              </w:rPr>
              <w:t>Patient</w:t>
            </w:r>
          </w:p>
        </w:tc>
        <w:tc>
          <w:tcPr>
            <w:tcW w:type="dxa" w:w="3408"/>
            <w:vAlign w:val="top"/>
          </w:tcPr>
          <w:p>
            <w:r>
              <w:rPr>
                <w:sz w:val="15"/>
              </w:rPr>
              <w:t>Basic patient identity/demographics context</w:t>
            </w:r>
          </w:p>
        </w:tc>
        <w:tc>
          <w:tcPr>
            <w:tcW w:type="dxa" w:w="3408"/>
            <w:vAlign w:val="top"/>
          </w:tcPr>
          <w:p>
            <w:r>
              <w:rPr>
                <w:sz w:val="15"/>
              </w:rPr>
              <w:t>Name, demographic details, identifiers</w:t>
            </w:r>
          </w:p>
        </w:tc>
      </w:tr>
      <w:tr>
        <w:tc>
          <w:tcPr>
            <w:tcW w:type="dxa" w:w="3408"/>
            <w:vAlign w:val="top"/>
          </w:tcPr>
          <w:p>
            <w:r>
              <w:rPr>
                <w:sz w:val="15"/>
              </w:rPr>
              <w:t>Encounter</w:t>
            </w:r>
          </w:p>
        </w:tc>
        <w:tc>
          <w:tcPr>
            <w:tcW w:type="dxa" w:w="3408"/>
            <w:vAlign w:val="top"/>
          </w:tcPr>
          <w:p>
            <w:r>
              <w:rPr>
                <w:sz w:val="15"/>
              </w:rPr>
              <w:t>A clinical/service interaction</w:t>
            </w:r>
          </w:p>
        </w:tc>
        <w:tc>
          <w:tcPr>
            <w:tcW w:type="dxa" w:w="3408"/>
            <w:vAlign w:val="top"/>
          </w:tcPr>
          <w:p>
            <w:r>
              <w:rPr>
                <w:sz w:val="15"/>
              </w:rPr>
              <w:t>PHC visit, teleconsult encounter, hospital encounter</w:t>
            </w:r>
          </w:p>
        </w:tc>
      </w:tr>
      <w:tr>
        <w:tc>
          <w:tcPr>
            <w:tcW w:type="dxa" w:w="3408"/>
            <w:vAlign w:val="top"/>
          </w:tcPr>
          <w:p>
            <w:r>
              <w:rPr>
                <w:sz w:val="15"/>
              </w:rPr>
              <w:t>Condition</w:t>
            </w:r>
          </w:p>
        </w:tc>
        <w:tc>
          <w:tcPr>
            <w:tcW w:type="dxa" w:w="3408"/>
            <w:vAlign w:val="top"/>
          </w:tcPr>
          <w:p>
            <w:r>
              <w:rPr>
                <w:sz w:val="15"/>
              </w:rPr>
              <w:t>Problem/diagnosis</w:t>
            </w:r>
          </w:p>
        </w:tc>
        <w:tc>
          <w:tcPr>
            <w:tcW w:type="dxa" w:w="3408"/>
            <w:vAlign w:val="top"/>
          </w:tcPr>
          <w:p>
            <w:r>
              <w:rPr>
                <w:sz w:val="15"/>
              </w:rPr>
              <w:t>Hypertension, diabetes, pregnancy-related condition</w:t>
            </w:r>
          </w:p>
        </w:tc>
      </w:tr>
      <w:tr>
        <w:tc>
          <w:tcPr>
            <w:tcW w:type="dxa" w:w="3408"/>
            <w:vAlign w:val="top"/>
          </w:tcPr>
          <w:p>
            <w:r>
              <w:rPr>
                <w:sz w:val="15"/>
              </w:rPr>
              <w:t>Observation</w:t>
            </w:r>
          </w:p>
        </w:tc>
        <w:tc>
          <w:tcPr>
            <w:tcW w:type="dxa" w:w="3408"/>
            <w:vAlign w:val="top"/>
          </w:tcPr>
          <w:p>
            <w:r>
              <w:rPr>
                <w:sz w:val="15"/>
              </w:rPr>
              <w:t>Measurement/simple assertion</w:t>
            </w:r>
          </w:p>
        </w:tc>
        <w:tc>
          <w:tcPr>
            <w:tcW w:type="dxa" w:w="3408"/>
            <w:vAlign w:val="top"/>
          </w:tcPr>
          <w:p>
            <w:r>
              <w:rPr>
                <w:sz w:val="15"/>
              </w:rPr>
              <w:t>BP, glucose, temperature, laboratory atomic result</w:t>
            </w:r>
          </w:p>
        </w:tc>
      </w:tr>
      <w:tr>
        <w:tc>
          <w:tcPr>
            <w:tcW w:type="dxa" w:w="3408"/>
            <w:vAlign w:val="top"/>
          </w:tcPr>
          <w:p>
            <w:r>
              <w:rPr>
                <w:sz w:val="15"/>
              </w:rPr>
              <w:t>DiagnosticReportLab / DiagnosticReportImaging</w:t>
            </w:r>
          </w:p>
        </w:tc>
        <w:tc>
          <w:tcPr>
            <w:tcW w:type="dxa" w:w="3408"/>
            <w:vAlign w:val="top"/>
          </w:tcPr>
          <w:p>
            <w:r>
              <w:rPr>
                <w:sz w:val="15"/>
              </w:rPr>
              <w:t>Diagnostic reports</w:t>
            </w:r>
          </w:p>
        </w:tc>
        <w:tc>
          <w:tcPr>
            <w:tcW w:type="dxa" w:w="3408"/>
            <w:vAlign w:val="top"/>
          </w:tcPr>
          <w:p>
            <w:r>
              <w:rPr>
                <w:sz w:val="15"/>
              </w:rPr>
              <w:t>CBC report, imaging report</w:t>
            </w:r>
          </w:p>
        </w:tc>
      </w:tr>
      <w:tr>
        <w:tc>
          <w:tcPr>
            <w:tcW w:type="dxa" w:w="3408"/>
            <w:vAlign w:val="top"/>
          </w:tcPr>
          <w:p>
            <w:r>
              <w:rPr>
                <w:sz w:val="15"/>
              </w:rPr>
              <w:t>MedicationRequest</w:t>
            </w:r>
          </w:p>
        </w:tc>
        <w:tc>
          <w:tcPr>
            <w:tcW w:type="dxa" w:w="3408"/>
            <w:vAlign w:val="top"/>
          </w:tcPr>
          <w:p>
            <w:r>
              <w:rPr>
                <w:sz w:val="15"/>
              </w:rPr>
              <w:t>Prescription/order</w:t>
            </w:r>
          </w:p>
        </w:tc>
        <w:tc>
          <w:tcPr>
            <w:tcW w:type="dxa" w:w="3408"/>
            <w:vAlign w:val="top"/>
          </w:tcPr>
          <w:p>
            <w:r>
              <w:rPr>
                <w:sz w:val="15"/>
              </w:rPr>
              <w:t>Drug, dosage, route, frequency</w:t>
            </w:r>
          </w:p>
        </w:tc>
      </w:tr>
      <w:tr>
        <w:tc>
          <w:tcPr>
            <w:tcW w:type="dxa" w:w="3408"/>
            <w:vAlign w:val="top"/>
          </w:tcPr>
          <w:p>
            <w:r>
              <w:rPr>
                <w:sz w:val="15"/>
              </w:rPr>
              <w:t>MedicationStatement</w:t>
            </w:r>
          </w:p>
        </w:tc>
        <w:tc>
          <w:tcPr>
            <w:tcW w:type="dxa" w:w="3408"/>
            <w:vAlign w:val="top"/>
          </w:tcPr>
          <w:p>
            <w:r>
              <w:rPr>
                <w:sz w:val="15"/>
              </w:rPr>
              <w:t>Medication information</w:t>
            </w:r>
          </w:p>
        </w:tc>
        <w:tc>
          <w:tcPr>
            <w:tcW w:type="dxa" w:w="3408"/>
            <w:vAlign w:val="top"/>
          </w:tcPr>
          <w:p>
            <w:r>
              <w:rPr>
                <w:sz w:val="15"/>
              </w:rPr>
              <w:t>Current/past medication information</w:t>
            </w:r>
          </w:p>
        </w:tc>
      </w:tr>
      <w:tr>
        <w:tc>
          <w:tcPr>
            <w:tcW w:type="dxa" w:w="3408"/>
            <w:vAlign w:val="top"/>
          </w:tcPr>
          <w:p>
            <w:r>
              <w:rPr>
                <w:sz w:val="15"/>
              </w:rPr>
              <w:t>CarePlan</w:t>
            </w:r>
          </w:p>
        </w:tc>
        <w:tc>
          <w:tcPr>
            <w:tcW w:type="dxa" w:w="3408"/>
            <w:vAlign w:val="top"/>
          </w:tcPr>
          <w:p>
            <w:r>
              <w:rPr>
                <w:sz w:val="15"/>
              </w:rPr>
              <w:t>Assessment and plan of treatment</w:t>
            </w:r>
          </w:p>
        </w:tc>
        <w:tc>
          <w:tcPr>
            <w:tcW w:type="dxa" w:w="3408"/>
            <w:vAlign w:val="top"/>
          </w:tcPr>
          <w:p>
            <w:r>
              <w:rPr>
                <w:sz w:val="15"/>
              </w:rPr>
              <w:t>Planned treatment/follow-up plan</w:t>
            </w:r>
          </w:p>
        </w:tc>
      </w:tr>
      <w:tr>
        <w:tc>
          <w:tcPr>
            <w:tcW w:type="dxa" w:w="3408"/>
            <w:vAlign w:val="top"/>
          </w:tcPr>
          <w:p>
            <w:r>
              <w:rPr>
                <w:sz w:val="15"/>
              </w:rPr>
              <w:t>ServiceRequest</w:t>
            </w:r>
          </w:p>
        </w:tc>
        <w:tc>
          <w:tcPr>
            <w:tcW w:type="dxa" w:w="3408"/>
            <w:vAlign w:val="top"/>
          </w:tcPr>
          <w:p>
            <w:r>
              <w:rPr>
                <w:sz w:val="15"/>
              </w:rPr>
              <w:t>Requested procedure/diagnostic/service</w:t>
            </w:r>
          </w:p>
        </w:tc>
        <w:tc>
          <w:tcPr>
            <w:tcW w:type="dxa" w:w="3408"/>
            <w:vAlign w:val="top"/>
          </w:tcPr>
          <w:p>
            <w:r>
              <w:rPr>
                <w:sz w:val="15"/>
              </w:rPr>
              <w:t>Lab test, referral-related service request</w:t>
            </w:r>
          </w:p>
        </w:tc>
      </w:tr>
      <w:tr>
        <w:tc>
          <w:tcPr>
            <w:tcW w:type="dxa" w:w="3408"/>
            <w:vAlign w:val="top"/>
          </w:tcPr>
          <w:p>
            <w:r>
              <w:rPr>
                <w:sz w:val="15"/>
              </w:rPr>
              <w:t>Appointment</w:t>
            </w:r>
          </w:p>
        </w:tc>
        <w:tc>
          <w:tcPr>
            <w:tcW w:type="dxa" w:w="3408"/>
            <w:vAlign w:val="top"/>
          </w:tcPr>
          <w:p>
            <w:r>
              <w:rPr>
                <w:sz w:val="15"/>
              </w:rPr>
              <w:t>Scheduled healthcare event</w:t>
            </w:r>
          </w:p>
        </w:tc>
        <w:tc>
          <w:tcPr>
            <w:tcW w:type="dxa" w:w="3408"/>
            <w:vAlign w:val="top"/>
          </w:tcPr>
          <w:p>
            <w:r>
              <w:rPr>
                <w:sz w:val="15"/>
              </w:rPr>
              <w:t>Doctor visit / service booking</w:t>
            </w:r>
          </w:p>
        </w:tc>
      </w:tr>
      <w:tr>
        <w:tc>
          <w:tcPr>
            <w:tcW w:type="dxa" w:w="3408"/>
            <w:vAlign w:val="top"/>
          </w:tcPr>
          <w:p>
            <w:r>
              <w:rPr>
                <w:sz w:val="15"/>
              </w:rPr>
              <w:t>Task</w:t>
            </w:r>
          </w:p>
        </w:tc>
        <w:tc>
          <w:tcPr>
            <w:tcW w:type="dxa" w:w="3408"/>
            <w:vAlign w:val="top"/>
          </w:tcPr>
          <w:p>
            <w:r>
              <w:rPr>
                <w:sz w:val="15"/>
              </w:rPr>
              <w:t>Work item/status in workflow</w:t>
            </w:r>
          </w:p>
        </w:tc>
        <w:tc>
          <w:tcPr>
            <w:tcW w:type="dxa" w:w="3408"/>
            <w:vAlign w:val="top"/>
          </w:tcPr>
          <w:p>
            <w:r>
              <w:rPr>
                <w:sz w:val="15"/>
              </w:rPr>
              <w:t>Referral task, follow-up task, service completion task</w:t>
            </w:r>
          </w:p>
        </w:tc>
      </w:tr>
      <w:tr>
        <w:tc>
          <w:tcPr>
            <w:tcW w:type="dxa" w:w="3408"/>
            <w:vAlign w:val="top"/>
          </w:tcPr>
          <w:p>
            <w:r>
              <w:rPr>
                <w:sz w:val="15"/>
              </w:rPr>
              <w:t>DocumentReference</w:t>
            </w:r>
          </w:p>
        </w:tc>
        <w:tc>
          <w:tcPr>
            <w:tcW w:type="dxa" w:w="3408"/>
            <w:vAlign w:val="top"/>
          </w:tcPr>
          <w:p>
            <w:r>
              <w:rPr>
                <w:sz w:val="15"/>
              </w:rPr>
              <w:t>Reference to patient documents/clinical notes</w:t>
            </w:r>
          </w:p>
        </w:tc>
        <w:tc>
          <w:tcPr>
            <w:tcW w:type="dxa" w:w="3408"/>
            <w:vAlign w:val="top"/>
          </w:tcPr>
          <w:p>
            <w:r>
              <w:rPr>
                <w:sz w:val="15"/>
              </w:rPr>
              <w:t>Scanned/report/clinical note reference</w:t>
            </w:r>
          </w:p>
        </w:tc>
      </w:tr>
      <w:tr>
        <w:tc>
          <w:tcPr>
            <w:tcW w:type="dxa" w:w="3408"/>
            <w:vAlign w:val="top"/>
          </w:tcPr>
          <w:p>
            <w:r>
              <w:rPr>
                <w:sz w:val="15"/>
              </w:rPr>
              <w:t>Immunization</w:t>
            </w:r>
          </w:p>
        </w:tc>
        <w:tc>
          <w:tcPr>
            <w:tcW w:type="dxa" w:w="3408"/>
            <w:vAlign w:val="top"/>
          </w:tcPr>
          <w:p>
            <w:r>
              <w:rPr>
                <w:sz w:val="15"/>
              </w:rPr>
              <w:t>Vaccination history/event</w:t>
            </w:r>
          </w:p>
        </w:tc>
        <w:tc>
          <w:tcPr>
            <w:tcW w:type="dxa" w:w="3408"/>
            <w:vAlign w:val="top"/>
          </w:tcPr>
          <w:p>
            <w:r>
              <w:rPr>
                <w:sz w:val="15"/>
              </w:rPr>
              <w:t>Vaccine administered / immunization history</w:t>
            </w:r>
          </w:p>
        </w:tc>
      </w:tr>
      <w:tr>
        <w:tc>
          <w:tcPr>
            <w:tcW w:type="dxa" w:w="3408"/>
            <w:vAlign w:val="top"/>
          </w:tcPr>
          <w:p>
            <w:r>
              <w:rPr>
                <w:sz w:val="15"/>
              </w:rPr>
              <w:t>CoverageEligibilityRequest/Response</w:t>
            </w:r>
          </w:p>
        </w:tc>
        <w:tc>
          <w:tcPr>
            <w:tcW w:type="dxa" w:w="3408"/>
            <w:vAlign w:val="top"/>
          </w:tcPr>
          <w:p>
            <w:r>
              <w:rPr>
                <w:sz w:val="15"/>
              </w:rPr>
              <w:t>Coverage/benefit check</w:t>
            </w:r>
          </w:p>
        </w:tc>
        <w:tc>
          <w:tcPr>
            <w:tcW w:type="dxa" w:w="3408"/>
            <w:vAlign w:val="top"/>
          </w:tcPr>
          <w:p>
            <w:r>
              <w:rPr>
                <w:sz w:val="15"/>
              </w:rPr>
              <w:t>Entitlement inquiry/response</w:t>
            </w:r>
          </w:p>
        </w:tc>
      </w:tr>
      <w:tr>
        <w:tc>
          <w:tcPr>
            <w:tcW w:type="dxa" w:w="3408"/>
            <w:vAlign w:val="top"/>
          </w:tcPr>
          <w:p>
            <w:r>
              <w:rPr>
                <w:sz w:val="15"/>
              </w:rPr>
              <w:t>Claim / ClaimResponse</w:t>
            </w:r>
          </w:p>
        </w:tc>
        <w:tc>
          <w:tcPr>
            <w:tcW w:type="dxa" w:w="3408"/>
            <w:vAlign w:val="top"/>
          </w:tcPr>
          <w:p>
            <w:r>
              <w:rPr>
                <w:sz w:val="15"/>
              </w:rPr>
              <w:t>Insurance/benefit transaction</w:t>
            </w:r>
          </w:p>
        </w:tc>
        <w:tc>
          <w:tcPr>
            <w:tcW w:type="dxa" w:w="3408"/>
            <w:vAlign w:val="top"/>
          </w:tcPr>
          <w:p>
            <w:r>
              <w:rPr>
                <w:sz w:val="15"/>
              </w:rPr>
              <w:t>PM-JAY claim information where applicable</w:t>
            </w:r>
          </w:p>
        </w:tc>
      </w:tr>
    </w:tbl>
    <w:p/>
    <w:p>
      <w:r>
        <w:t>The official FHIR profiles explicitly define minimum expectations for these resources. For example, the Condition profile is related to Patient, Encounter, Practitioner, Observation and DiagnosticReport profiles; Observation represents measurements such as lab values and vital signs; ServiceRequest covers diagnostic/procedure/service requests; Appointment represents scheduled healthcare events; MedicationRequest covers medication prescriptions/orders; and CarePlan captures assessment and treatment plans. [11–17]</w:t>
      </w:r>
    </w:p>
    <w:p>
      <w:pPr>
        <w:pStyle w:val="Heading1"/>
      </w:pPr>
      <w:r>
        <w:t>6. ABDM clinical-artifact bundles relevant to the project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sz w:val="15"/>
              </w:rPr>
              <w:t>Artifact</w:t>
            </w:r>
          </w:p>
        </w:tc>
        <w:tc>
          <w:tcPr>
            <w:tcW w:type="dxa" w:w="3408"/>
            <w:shd w:fill="D9E2F3"/>
            <w:vAlign w:val="center"/>
          </w:tcPr>
          <w:p>
            <w:r>
              <w:rPr>
                <w:b/>
                <w:sz w:val="15"/>
              </w:rPr>
              <w:t>Use</w:t>
            </w:r>
          </w:p>
        </w:tc>
        <w:tc>
          <w:tcPr>
            <w:tcW w:type="dxa" w:w="3408"/>
            <w:shd w:fill="D9E2F3"/>
            <w:vAlign w:val="center"/>
          </w:tcPr>
          <w:p>
            <w:r>
              <w:rPr>
                <w:b/>
                <w:sz w:val="15"/>
              </w:rPr>
              <w:t>Why it matters</w:t>
            </w:r>
          </w:p>
        </w:tc>
      </w:tr>
      <w:tr>
        <w:tc>
          <w:tcPr>
            <w:tcW w:type="dxa" w:w="3408"/>
            <w:vAlign w:val="top"/>
          </w:tcPr>
          <w:p>
            <w:r>
              <w:rPr>
                <w:sz w:val="15"/>
              </w:rPr>
              <w:t>OPConsultRecord</w:t>
            </w:r>
          </w:p>
        </w:tc>
        <w:tc>
          <w:tcPr>
            <w:tcW w:type="dxa" w:w="3408"/>
            <w:vAlign w:val="top"/>
          </w:tcPr>
          <w:p>
            <w:r>
              <w:rPr>
                <w:sz w:val="15"/>
              </w:rPr>
              <w:t>Outpatient consultation package</w:t>
            </w:r>
          </w:p>
        </w:tc>
        <w:tc>
          <w:tcPr>
            <w:tcW w:type="dxa" w:w="3408"/>
            <w:vAlign w:val="top"/>
          </w:tcPr>
          <w:p>
            <w:r>
              <w:rPr>
                <w:sz w:val="15"/>
              </w:rPr>
              <w:t>Useful after PHC/eSanjeevani consultation</w:t>
            </w:r>
          </w:p>
        </w:tc>
      </w:tr>
      <w:tr>
        <w:tc>
          <w:tcPr>
            <w:tcW w:type="dxa" w:w="3408"/>
            <w:vAlign w:val="top"/>
          </w:tcPr>
          <w:p>
            <w:r>
              <w:rPr>
                <w:sz w:val="15"/>
              </w:rPr>
              <w:t>PrescriptionRecord</w:t>
            </w:r>
          </w:p>
        </w:tc>
        <w:tc>
          <w:tcPr>
            <w:tcW w:type="dxa" w:w="3408"/>
            <w:vAlign w:val="top"/>
          </w:tcPr>
          <w:p>
            <w:r>
              <w:rPr>
                <w:sz w:val="15"/>
              </w:rPr>
              <w:t>Prescription package</w:t>
            </w:r>
          </w:p>
        </w:tc>
        <w:tc>
          <w:tcPr>
            <w:tcW w:type="dxa" w:w="3408"/>
            <w:vAlign w:val="top"/>
          </w:tcPr>
          <w:p>
            <w:r>
              <w:rPr>
                <w:sz w:val="15"/>
              </w:rPr>
              <w:t>Connect medicine action without replacing the source record</w:t>
            </w:r>
          </w:p>
        </w:tc>
      </w:tr>
      <w:tr>
        <w:tc>
          <w:tcPr>
            <w:tcW w:type="dxa" w:w="3408"/>
            <w:vAlign w:val="top"/>
          </w:tcPr>
          <w:p>
            <w:r>
              <w:rPr>
                <w:sz w:val="15"/>
              </w:rPr>
              <w:t>DiagnosticReportRecord</w:t>
            </w:r>
          </w:p>
        </w:tc>
        <w:tc>
          <w:tcPr>
            <w:tcW w:type="dxa" w:w="3408"/>
            <w:vAlign w:val="top"/>
          </w:tcPr>
          <w:p>
            <w:r>
              <w:rPr>
                <w:sz w:val="15"/>
              </w:rPr>
              <w:t>Lab/radiology report package</w:t>
            </w:r>
          </w:p>
        </w:tc>
        <w:tc>
          <w:tcPr>
            <w:tcW w:type="dxa" w:w="3408"/>
            <w:vAlign w:val="top"/>
          </w:tcPr>
          <w:p>
            <w:r>
              <w:rPr>
                <w:sz w:val="15"/>
              </w:rPr>
              <w:t>Moves a result into the longitudinal record exchange</w:t>
            </w:r>
          </w:p>
        </w:tc>
      </w:tr>
      <w:tr>
        <w:tc>
          <w:tcPr>
            <w:tcW w:type="dxa" w:w="3408"/>
            <w:vAlign w:val="top"/>
          </w:tcPr>
          <w:p>
            <w:r>
              <w:rPr>
                <w:sz w:val="15"/>
              </w:rPr>
              <w:t>DischargeSummaryRecord</w:t>
            </w:r>
          </w:p>
        </w:tc>
        <w:tc>
          <w:tcPr>
            <w:tcW w:type="dxa" w:w="3408"/>
            <w:vAlign w:val="top"/>
          </w:tcPr>
          <w:p>
            <w:r>
              <w:rPr>
                <w:sz w:val="15"/>
              </w:rPr>
              <w:t>Hospital discharge summary</w:t>
            </w:r>
          </w:p>
        </w:tc>
        <w:tc>
          <w:tcPr>
            <w:tcW w:type="dxa" w:w="3408"/>
            <w:vAlign w:val="top"/>
          </w:tcPr>
          <w:p>
            <w:r>
              <w:rPr>
                <w:sz w:val="15"/>
              </w:rPr>
              <w:t>Closes a facility episode and informs follow-up</w:t>
            </w:r>
          </w:p>
        </w:tc>
      </w:tr>
      <w:tr>
        <w:tc>
          <w:tcPr>
            <w:tcW w:type="dxa" w:w="3408"/>
            <w:vAlign w:val="top"/>
          </w:tcPr>
          <w:p>
            <w:r>
              <w:rPr>
                <w:sz w:val="15"/>
              </w:rPr>
              <w:t>ImmunizationRecord</w:t>
            </w:r>
          </w:p>
        </w:tc>
        <w:tc>
          <w:tcPr>
            <w:tcW w:type="dxa" w:w="3408"/>
            <w:vAlign w:val="top"/>
          </w:tcPr>
          <w:p>
            <w:r>
              <w:rPr>
                <w:sz w:val="15"/>
              </w:rPr>
              <w:t>Vaccination episode</w:t>
            </w:r>
          </w:p>
        </w:tc>
        <w:tc>
          <w:tcPr>
            <w:tcW w:type="dxa" w:w="3408"/>
            <w:vAlign w:val="top"/>
          </w:tcPr>
          <w:p>
            <w:r>
              <w:rPr>
                <w:sz w:val="15"/>
              </w:rPr>
              <w:t>Connects child journey to U-WIN-originated information</w:t>
            </w:r>
          </w:p>
        </w:tc>
      </w:tr>
      <w:tr>
        <w:tc>
          <w:tcPr>
            <w:tcW w:type="dxa" w:w="3408"/>
            <w:vAlign w:val="top"/>
          </w:tcPr>
          <w:p>
            <w:r>
              <w:rPr>
                <w:sz w:val="15"/>
              </w:rPr>
              <w:t>WellnessRecord</w:t>
            </w:r>
          </w:p>
        </w:tc>
        <w:tc>
          <w:tcPr>
            <w:tcW w:type="dxa" w:w="3408"/>
            <w:vAlign w:val="top"/>
          </w:tcPr>
          <w:p>
            <w:r>
              <w:rPr>
                <w:sz w:val="15"/>
              </w:rPr>
              <w:t>Preventive/wellness information</w:t>
            </w:r>
          </w:p>
        </w:tc>
        <w:tc>
          <w:tcPr>
            <w:tcW w:type="dxa" w:w="3408"/>
            <w:vAlign w:val="top"/>
          </w:tcPr>
          <w:p>
            <w:r>
              <w:rPr>
                <w:sz w:val="15"/>
              </w:rPr>
              <w:t>Useful for screening and longitudinal prevention</w:t>
            </w:r>
          </w:p>
        </w:tc>
      </w:tr>
      <w:tr>
        <w:tc>
          <w:tcPr>
            <w:tcW w:type="dxa" w:w="3408"/>
            <w:vAlign w:val="top"/>
          </w:tcPr>
          <w:p>
            <w:r>
              <w:rPr>
                <w:sz w:val="15"/>
              </w:rPr>
              <w:t>TaskBundle</w:t>
            </w:r>
          </w:p>
        </w:tc>
        <w:tc>
          <w:tcPr>
            <w:tcW w:type="dxa" w:w="3408"/>
            <w:vAlign w:val="top"/>
          </w:tcPr>
          <w:p>
            <w:r>
              <w:rPr>
                <w:sz w:val="15"/>
              </w:rPr>
              <w:t>Workflow-oriented task information</w:t>
            </w:r>
          </w:p>
        </w:tc>
        <w:tc>
          <w:tcPr>
            <w:tcW w:type="dxa" w:w="3408"/>
            <w:vAlign w:val="top"/>
          </w:tcPr>
          <w:p>
            <w:r>
              <w:rPr>
                <w:sz w:val="15"/>
              </w:rPr>
              <w:t>Potentially valuable for cross-system care coordination</w:t>
            </w:r>
          </w:p>
        </w:tc>
      </w:tr>
      <w:tr>
        <w:tc>
          <w:tcPr>
            <w:tcW w:type="dxa" w:w="3408"/>
            <w:vAlign w:val="top"/>
          </w:tcPr>
          <w:p>
            <w:r>
              <w:rPr>
                <w:sz w:val="15"/>
              </w:rPr>
              <w:t>ClaimBundle / CoverageEligibility bundles</w:t>
            </w:r>
          </w:p>
        </w:tc>
        <w:tc>
          <w:tcPr>
            <w:tcW w:type="dxa" w:w="3408"/>
            <w:vAlign w:val="top"/>
          </w:tcPr>
          <w:p>
            <w:r>
              <w:rPr>
                <w:sz w:val="15"/>
              </w:rPr>
              <w:t>Financial/coverage context</w:t>
            </w:r>
          </w:p>
        </w:tc>
        <w:tc>
          <w:tcPr>
            <w:tcW w:type="dxa" w:w="3408"/>
            <w:vAlign w:val="top"/>
          </w:tcPr>
          <w:p>
            <w:r>
              <w:rPr>
                <w:sz w:val="15"/>
              </w:rPr>
              <w:t>Supports entitlement-aware care routing</w:t>
            </w:r>
          </w:p>
        </w:tc>
      </w:tr>
    </w:tbl>
    <w:p/>
    <w:p>
      <w:r>
        <w:t>NRCeS lists these artifacts and examples in the ABDM FHIR implementation guide. [18]</w:t>
      </w:r>
    </w:p>
    <w:p>
      <w:pPr>
        <w:pStyle w:val="Heading1"/>
      </w:pPr>
      <w:r>
        <w:t>7. Terminology and semantic interoperability</w:t>
      </w:r>
    </w:p>
    <w:p>
      <w:r>
        <w:t>The most important production rule is: do not pass free text as the canonical clinical meaning when a national or international code is available. NRCeS now provides India-specific terminology assets, including Common Lab Codes for India (CLCI), Common Drug Codes for India and the Bharat Health Terminology Service (BHTS). [19][20]</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rPr>
                <w:b/>
                <w:sz w:val="15"/>
              </w:rPr>
              <w:t>Domain</w:t>
            </w:r>
          </w:p>
        </w:tc>
        <w:tc>
          <w:tcPr>
            <w:tcW w:type="dxa" w:w="2556"/>
            <w:shd w:fill="D9E2F3"/>
            <w:vAlign w:val="center"/>
          </w:tcPr>
          <w:p>
            <w:r>
              <w:rPr>
                <w:b/>
                <w:sz w:val="15"/>
              </w:rPr>
              <w:t>Recommended standard/terminology</w:t>
            </w:r>
          </w:p>
        </w:tc>
        <w:tc>
          <w:tcPr>
            <w:tcW w:type="dxa" w:w="2556"/>
            <w:shd w:fill="D9E2F3"/>
            <w:vAlign w:val="center"/>
          </w:tcPr>
          <w:p>
            <w:r>
              <w:rPr>
                <w:b/>
                <w:sz w:val="15"/>
              </w:rPr>
              <w:t>Why we need it</w:t>
            </w:r>
          </w:p>
        </w:tc>
        <w:tc>
          <w:tcPr>
            <w:tcW w:type="dxa" w:w="2556"/>
            <w:shd w:fill="D9E2F3"/>
            <w:vAlign w:val="center"/>
          </w:tcPr>
          <w:p>
            <w:r>
              <w:rPr>
                <w:b/>
                <w:sz w:val="15"/>
              </w:rPr>
              <w:t>Our implementation rule</w:t>
            </w:r>
          </w:p>
        </w:tc>
      </w:tr>
      <w:tr>
        <w:tc>
          <w:tcPr>
            <w:tcW w:type="dxa" w:w="2556"/>
            <w:vAlign w:val="top"/>
          </w:tcPr>
          <w:p>
            <w:r>
              <w:rPr>
                <w:sz w:val="15"/>
              </w:rPr>
              <w:t>Clinical concepts/diagnoses</w:t>
            </w:r>
          </w:p>
        </w:tc>
        <w:tc>
          <w:tcPr>
            <w:tcW w:type="dxa" w:w="2556"/>
            <w:vAlign w:val="top"/>
          </w:tcPr>
          <w:p>
            <w:r>
              <w:rPr>
                <w:sz w:val="15"/>
              </w:rPr>
              <w:t>SNOMED CT + India reference sets/extensions</w:t>
            </w:r>
          </w:p>
        </w:tc>
        <w:tc>
          <w:tcPr>
            <w:tcW w:type="dxa" w:w="2556"/>
            <w:vAlign w:val="top"/>
          </w:tcPr>
          <w:p>
            <w:r>
              <w:rPr>
                <w:sz w:val="15"/>
              </w:rPr>
              <w:t>Consistent clinical semantics</w:t>
            </w:r>
          </w:p>
        </w:tc>
        <w:tc>
          <w:tcPr>
            <w:tcW w:type="dxa" w:w="2556"/>
            <w:vAlign w:val="top"/>
          </w:tcPr>
          <w:p>
            <w:r>
              <w:rPr>
                <w:sz w:val="15"/>
              </w:rPr>
              <w:t>Store coded concept + human display; support Tamil/local labels at UI only</w:t>
            </w:r>
          </w:p>
        </w:tc>
      </w:tr>
      <w:tr>
        <w:tc>
          <w:tcPr>
            <w:tcW w:type="dxa" w:w="2556"/>
            <w:vAlign w:val="top"/>
          </w:tcPr>
          <w:p>
            <w:r>
              <w:rPr>
                <w:sz w:val="15"/>
              </w:rPr>
              <w:t>Laboratory tests/results</w:t>
            </w:r>
          </w:p>
        </w:tc>
        <w:tc>
          <w:tcPr>
            <w:tcW w:type="dxa" w:w="2556"/>
            <w:vAlign w:val="top"/>
          </w:tcPr>
          <w:p>
            <w:r>
              <w:rPr>
                <w:sz w:val="15"/>
              </w:rPr>
              <w:t>LOINC + Common Lab Codes for India (CLCI)</w:t>
            </w:r>
          </w:p>
        </w:tc>
        <w:tc>
          <w:tcPr>
            <w:tcW w:type="dxa" w:w="2556"/>
            <w:vAlign w:val="top"/>
          </w:tcPr>
          <w:p>
            <w:r>
              <w:rPr>
                <w:sz w:val="15"/>
              </w:rPr>
              <w:t>Consistent test identification</w:t>
            </w:r>
          </w:p>
        </w:tc>
        <w:tc>
          <w:tcPr>
            <w:tcW w:type="dxa" w:w="2556"/>
            <w:vAlign w:val="top"/>
          </w:tcPr>
          <w:p>
            <w:r>
              <w:rPr>
                <w:sz w:val="15"/>
              </w:rPr>
              <w:t>Map local lab names to LOINC/CLCI at adapter boundary</w:t>
            </w:r>
          </w:p>
        </w:tc>
      </w:tr>
      <w:tr>
        <w:tc>
          <w:tcPr>
            <w:tcW w:type="dxa" w:w="2556"/>
            <w:vAlign w:val="top"/>
          </w:tcPr>
          <w:p>
            <w:r>
              <w:rPr>
                <w:sz w:val="15"/>
              </w:rPr>
              <w:t>Medicines</w:t>
            </w:r>
          </w:p>
        </w:tc>
        <w:tc>
          <w:tcPr>
            <w:tcW w:type="dxa" w:w="2556"/>
            <w:vAlign w:val="top"/>
          </w:tcPr>
          <w:p>
            <w:r>
              <w:rPr>
                <w:sz w:val="15"/>
              </w:rPr>
              <w:t>SNOMED CT clinical drugs + Common Drug Codes for India</w:t>
            </w:r>
          </w:p>
        </w:tc>
        <w:tc>
          <w:tcPr>
            <w:tcW w:type="dxa" w:w="2556"/>
            <w:vAlign w:val="top"/>
          </w:tcPr>
          <w:p>
            <w:r>
              <w:rPr>
                <w:sz w:val="15"/>
              </w:rPr>
              <w:t>Standard prescription vocabulary</w:t>
            </w:r>
          </w:p>
        </w:tc>
        <w:tc>
          <w:tcPr>
            <w:tcW w:type="dxa" w:w="2556"/>
            <w:vAlign w:val="top"/>
          </w:tcPr>
          <w:p>
            <w:r>
              <w:rPr>
                <w:sz w:val="15"/>
              </w:rPr>
              <w:t>Keep code + strength + form + route + local display</w:t>
            </w:r>
          </w:p>
        </w:tc>
      </w:tr>
      <w:tr>
        <w:tc>
          <w:tcPr>
            <w:tcW w:type="dxa" w:w="2556"/>
            <w:vAlign w:val="top"/>
          </w:tcPr>
          <w:p>
            <w:r>
              <w:rPr>
                <w:sz w:val="15"/>
              </w:rPr>
              <w:t>Diagnostic imaging</w:t>
            </w:r>
          </w:p>
        </w:tc>
        <w:tc>
          <w:tcPr>
            <w:tcW w:type="dxa" w:w="2556"/>
            <w:vAlign w:val="top"/>
          </w:tcPr>
          <w:p>
            <w:r>
              <w:rPr>
                <w:sz w:val="15"/>
              </w:rPr>
              <w:t>FHIR ImagingStudy/DiagnosticReport + DICOM where imaging systems participate</w:t>
            </w:r>
          </w:p>
        </w:tc>
        <w:tc>
          <w:tcPr>
            <w:tcW w:type="dxa" w:w="2556"/>
            <w:vAlign w:val="top"/>
          </w:tcPr>
          <w:p>
            <w:r>
              <w:rPr>
                <w:sz w:val="15"/>
              </w:rPr>
              <w:t>Image/report interoperability</w:t>
            </w:r>
          </w:p>
        </w:tc>
        <w:tc>
          <w:tcPr>
            <w:tcW w:type="dxa" w:w="2556"/>
            <w:vAlign w:val="top"/>
          </w:tcPr>
          <w:p>
            <w:r>
              <w:rPr>
                <w:sz w:val="15"/>
              </w:rPr>
              <w:t>Use DICOM at image layer; FHIR to represent clinical context/report</w:t>
            </w:r>
          </w:p>
        </w:tc>
      </w:tr>
      <w:tr>
        <w:tc>
          <w:tcPr>
            <w:tcW w:type="dxa" w:w="2556"/>
            <w:vAlign w:val="top"/>
          </w:tcPr>
          <w:p>
            <w:r>
              <w:rPr>
                <w:sz w:val="15"/>
              </w:rPr>
              <w:t>Clinical documents</w:t>
            </w:r>
          </w:p>
        </w:tc>
        <w:tc>
          <w:tcPr>
            <w:tcW w:type="dxa" w:w="2556"/>
            <w:vAlign w:val="top"/>
          </w:tcPr>
          <w:p>
            <w:r>
              <w:rPr>
                <w:sz w:val="15"/>
              </w:rPr>
              <w:t>FHIR Composition-based ABDM artifacts</w:t>
            </w:r>
          </w:p>
        </w:tc>
        <w:tc>
          <w:tcPr>
            <w:tcW w:type="dxa" w:w="2556"/>
            <w:vAlign w:val="top"/>
          </w:tcPr>
          <w:p>
            <w:r>
              <w:rPr>
                <w:sz w:val="15"/>
              </w:rPr>
              <w:t>Exchange packages</w:t>
            </w:r>
          </w:p>
        </w:tc>
        <w:tc>
          <w:tcPr>
            <w:tcW w:type="dxa" w:w="2556"/>
            <w:vAlign w:val="top"/>
          </w:tcPr>
          <w:p>
            <w:r>
              <w:rPr>
                <w:sz w:val="15"/>
              </w:rPr>
              <w:t>Build using the ABDM profile package, not generic unconstrained FHIR</w:t>
            </w:r>
          </w:p>
        </w:tc>
      </w:tr>
      <w:tr>
        <w:tc>
          <w:tcPr>
            <w:tcW w:type="dxa" w:w="2556"/>
            <w:vAlign w:val="top"/>
          </w:tcPr>
          <w:p>
            <w:r>
              <w:rPr>
                <w:sz w:val="15"/>
              </w:rPr>
              <w:t>Geography/facilities</w:t>
            </w:r>
          </w:p>
        </w:tc>
        <w:tc>
          <w:tcPr>
            <w:tcW w:type="dxa" w:w="2556"/>
            <w:vAlign w:val="top"/>
          </w:tcPr>
          <w:p>
            <w:r>
              <w:rPr>
                <w:sz w:val="15"/>
              </w:rPr>
              <w:t>HFR + Indian administrative/geographic codes as required</w:t>
            </w:r>
          </w:p>
        </w:tc>
        <w:tc>
          <w:tcPr>
            <w:tcW w:type="dxa" w:w="2556"/>
            <w:vAlign w:val="top"/>
          </w:tcPr>
          <w:p>
            <w:r>
              <w:rPr>
                <w:sz w:val="15"/>
              </w:rPr>
              <w:t>Reliable facility/location lookup</w:t>
            </w:r>
          </w:p>
        </w:tc>
        <w:tc>
          <w:tcPr>
            <w:tcW w:type="dxa" w:w="2556"/>
            <w:vAlign w:val="top"/>
          </w:tcPr>
          <w:p>
            <w:r>
              <w:rPr>
                <w:sz w:val="15"/>
              </w:rPr>
              <w:t>Resolve to HFR + validated geographic codes</w:t>
            </w:r>
          </w:p>
        </w:tc>
      </w:tr>
      <w:tr>
        <w:tc>
          <w:tcPr>
            <w:tcW w:type="dxa" w:w="2556"/>
            <w:vAlign w:val="top"/>
          </w:tcPr>
          <w:p>
            <w:r>
              <w:rPr>
                <w:sz w:val="15"/>
              </w:rPr>
              <w:t>Language</w:t>
            </w:r>
          </w:p>
        </w:tc>
        <w:tc>
          <w:tcPr>
            <w:tcW w:type="dxa" w:w="2556"/>
            <w:vAlign w:val="top"/>
          </w:tcPr>
          <w:p>
            <w:r>
              <w:rPr>
                <w:sz w:val="15"/>
              </w:rPr>
              <w:t>NRCeS language extensions / local labels; UI translation</w:t>
            </w:r>
          </w:p>
        </w:tc>
        <w:tc>
          <w:tcPr>
            <w:tcW w:type="dxa" w:w="2556"/>
            <w:vAlign w:val="top"/>
          </w:tcPr>
          <w:p>
            <w:r>
              <w:rPr>
                <w:sz w:val="15"/>
              </w:rPr>
              <w:t>Rural accessibility</w:t>
            </w:r>
          </w:p>
        </w:tc>
        <w:tc>
          <w:tcPr>
            <w:tcW w:type="dxa" w:w="2556"/>
            <w:vAlign w:val="top"/>
          </w:tcPr>
          <w:p>
            <w:r>
              <w:rPr>
                <w:sz w:val="15"/>
              </w:rPr>
              <w:t>Never translate the canonical code; translate the display/education layer</w:t>
            </w:r>
          </w:p>
        </w:tc>
      </w:tr>
    </w:tbl>
    <w:p/>
    <w:p>
      <w:r>
        <w:t>NRCeS states that CLCI is a curated subset of LOINC for commonly performed laboratory tests and measurements in India, and its current release contains 1,473 mappings. The same NRCeS resource area provides Common Drug Codes for India and a patient-instruction language extension for SNOMED CT. [19][21]</w:t>
      </w:r>
    </w:p>
    <w:p>
      <w:pPr>
        <w:pStyle w:val="Heading1"/>
      </w:pPr>
      <w:r>
        <w:t>8. Integration-readiness matrix for the core MVP</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2F3"/>
            <w:vAlign w:val="center"/>
          </w:tcPr>
          <w:p>
            <w:r>
              <w:rPr>
                <w:b/>
                <w:sz w:val="15"/>
              </w:rPr>
              <w:t>System</w:t>
            </w:r>
          </w:p>
        </w:tc>
        <w:tc>
          <w:tcPr>
            <w:tcW w:type="dxa" w:w="2045"/>
            <w:shd w:fill="D9E2F3"/>
            <w:vAlign w:val="center"/>
          </w:tcPr>
          <w:p>
            <w:r>
              <w:rPr>
                <w:b/>
                <w:sz w:val="15"/>
              </w:rPr>
              <w:t>Exact technical surface publicly verified</w:t>
            </w:r>
          </w:p>
        </w:tc>
        <w:tc>
          <w:tcPr>
            <w:tcW w:type="dxa" w:w="2045"/>
            <w:shd w:fill="D9E2F3"/>
            <w:vAlign w:val="center"/>
          </w:tcPr>
          <w:p>
            <w:r>
              <w:rPr>
                <w:b/>
                <w:sz w:val="15"/>
              </w:rPr>
              <w:t>Standard/data contract</w:t>
            </w:r>
          </w:p>
        </w:tc>
        <w:tc>
          <w:tcPr>
            <w:tcW w:type="dxa" w:w="2045"/>
            <w:shd w:fill="D9E2F3"/>
            <w:vAlign w:val="center"/>
          </w:tcPr>
          <w:p>
            <w:r>
              <w:rPr>
                <w:b/>
                <w:sz w:val="15"/>
              </w:rPr>
              <w:t>Our mode</w:t>
            </w:r>
          </w:p>
        </w:tc>
        <w:tc>
          <w:tcPr>
            <w:tcW w:type="dxa" w:w="2045"/>
            <w:shd w:fill="D9E2F3"/>
            <w:vAlign w:val="center"/>
          </w:tcPr>
          <w:p>
            <w:r>
              <w:rPr>
                <w:b/>
                <w:sz w:val="15"/>
              </w:rPr>
              <w:t>Access caveat</w:t>
            </w:r>
          </w:p>
        </w:tc>
      </w:tr>
      <w:tr>
        <w:tc>
          <w:tcPr>
            <w:tcW w:type="dxa" w:w="2045"/>
            <w:vAlign w:val="top"/>
          </w:tcPr>
          <w:p>
            <w:r>
              <w:rPr>
                <w:sz w:val="15"/>
              </w:rPr>
              <w:t>ABDM gateway/HIE-CM</w:t>
            </w:r>
          </w:p>
        </w:tc>
        <w:tc>
          <w:tcPr>
            <w:tcW w:type="dxa" w:w="2045"/>
            <w:vAlign w:val="top"/>
          </w:tcPr>
          <w:p>
            <w:r>
              <w:rPr>
                <w:sz w:val="15"/>
              </w:rPr>
              <w:t>Yes: official wrapper/reference examples for session, bridge and M2/M3 callback flows</w:t>
            </w:r>
          </w:p>
        </w:tc>
        <w:tc>
          <w:tcPr>
            <w:tcW w:type="dxa" w:w="2045"/>
            <w:vAlign w:val="top"/>
          </w:tcPr>
          <w:p>
            <w:r>
              <w:rPr>
                <w:sz w:val="15"/>
              </w:rPr>
              <w:t>ABDM APIs + FHIR R4.0.1 profiles</w:t>
            </w:r>
          </w:p>
        </w:tc>
        <w:tc>
          <w:tcPr>
            <w:tcW w:type="dxa" w:w="2045"/>
            <w:vAlign w:val="top"/>
          </w:tcPr>
          <w:p>
            <w:r>
              <w:rPr>
                <w:sz w:val="15"/>
              </w:rPr>
              <w:t>Read/Write depending HIP/HIU role</w:t>
            </w:r>
          </w:p>
        </w:tc>
        <w:tc>
          <w:tcPr>
            <w:tcW w:type="dxa" w:w="2045"/>
            <w:vAlign w:val="top"/>
          </w:tcPr>
          <w:p>
            <w:r>
              <w:rPr>
                <w:sz w:val="15"/>
              </w:rPr>
              <w:t>Sandbox + functional testing/certification + credentials</w:t>
            </w:r>
          </w:p>
        </w:tc>
      </w:tr>
      <w:tr>
        <w:tc>
          <w:tcPr>
            <w:tcW w:type="dxa" w:w="2045"/>
            <w:vAlign w:val="top"/>
          </w:tcPr>
          <w:p>
            <w:r>
              <w:rPr>
                <w:sz w:val="15"/>
              </w:rPr>
              <w:t>HFR</w:t>
            </w:r>
          </w:p>
        </w:tc>
        <w:tc>
          <w:tcPr>
            <w:tcW w:type="dxa" w:w="2045"/>
            <w:vAlign w:val="top"/>
          </w:tcPr>
          <w:p>
            <w:r>
              <w:rPr>
                <w:sz w:val="15"/>
              </w:rPr>
              <w:t>Yes: sandbox/API documentation and search/create/link material</w:t>
            </w:r>
          </w:p>
        </w:tc>
        <w:tc>
          <w:tcPr>
            <w:tcW w:type="dxa" w:w="2045"/>
            <w:vAlign w:val="top"/>
          </w:tcPr>
          <w:p>
            <w:r>
              <w:rPr>
                <w:sz w:val="15"/>
              </w:rPr>
              <w:t>Registry schema; HFR identifiers</w:t>
            </w:r>
          </w:p>
        </w:tc>
        <w:tc>
          <w:tcPr>
            <w:tcW w:type="dxa" w:w="2045"/>
            <w:vAlign w:val="top"/>
          </w:tcPr>
          <w:p>
            <w:r>
              <w:rPr>
                <w:sz w:val="15"/>
              </w:rPr>
              <w:t>Read for discovery; write only when onboarding a facility</w:t>
            </w:r>
          </w:p>
        </w:tc>
        <w:tc>
          <w:tcPr>
            <w:tcW w:type="dxa" w:w="2045"/>
            <w:vAlign w:val="top"/>
          </w:tcPr>
          <w:p>
            <w:r>
              <w:rPr>
                <w:sz w:val="15"/>
              </w:rPr>
              <w:t>Government verification/approval and current Swagger required</w:t>
            </w:r>
          </w:p>
        </w:tc>
      </w:tr>
      <w:tr>
        <w:tc>
          <w:tcPr>
            <w:tcW w:type="dxa" w:w="2045"/>
            <w:vAlign w:val="top"/>
          </w:tcPr>
          <w:p>
            <w:r>
              <w:rPr>
                <w:sz w:val="15"/>
              </w:rPr>
              <w:t>HPR</w:t>
            </w:r>
          </w:p>
        </w:tc>
        <w:tc>
          <w:tcPr>
            <w:tcW w:type="dxa" w:w="2045"/>
            <w:vAlign w:val="top"/>
          </w:tcPr>
          <w:p>
            <w:r>
              <w:rPr>
                <w:sz w:val="15"/>
              </w:rPr>
              <w:t>Yes: API documentation and authentication flow exists</w:t>
            </w:r>
          </w:p>
        </w:tc>
        <w:tc>
          <w:tcPr>
            <w:tcW w:type="dxa" w:w="2045"/>
            <w:vAlign w:val="top"/>
          </w:tcPr>
          <w:p>
            <w:r>
              <w:rPr>
                <w:sz w:val="15"/>
              </w:rPr>
              <w:t>Professional registry schema</w:t>
            </w:r>
          </w:p>
        </w:tc>
        <w:tc>
          <w:tcPr>
            <w:tcW w:type="dxa" w:w="2045"/>
            <w:vAlign w:val="top"/>
          </w:tcPr>
          <w:p>
            <w:r>
              <w:rPr>
                <w:sz w:val="15"/>
              </w:rPr>
              <w:t>Read for provider discovery; write only for onboarding</w:t>
            </w:r>
          </w:p>
        </w:tc>
        <w:tc>
          <w:tcPr>
            <w:tcW w:type="dxa" w:w="2045"/>
            <w:vAlign w:val="top"/>
          </w:tcPr>
          <w:p>
            <w:r>
              <w:rPr>
                <w:sz w:val="15"/>
              </w:rPr>
              <w:t>Professional registration + controlled API access</w:t>
            </w:r>
          </w:p>
        </w:tc>
      </w:tr>
      <w:tr>
        <w:tc>
          <w:tcPr>
            <w:tcW w:type="dxa" w:w="2045"/>
            <w:vAlign w:val="top"/>
          </w:tcPr>
          <w:p>
            <w:r>
              <w:rPr>
                <w:sz w:val="15"/>
              </w:rPr>
              <w:t>UHI</w:t>
            </w:r>
          </w:p>
        </w:tc>
        <w:tc>
          <w:tcPr>
            <w:tcW w:type="dxa" w:w="2045"/>
            <w:vAlign w:val="top"/>
          </w:tcPr>
          <w:p>
            <w:r>
              <w:rPr>
                <w:sz w:val="15"/>
              </w:rPr>
              <w:t>Yes: official protocol/repository + government launch documentation</w:t>
            </w:r>
          </w:p>
        </w:tc>
        <w:tc>
          <w:tcPr>
            <w:tcW w:type="dxa" w:w="2045"/>
            <w:vAlign w:val="top"/>
          </w:tcPr>
          <w:p>
            <w:r>
              <w:rPr>
                <w:sz w:val="15"/>
              </w:rPr>
              <w:t>Open protocol; transaction schemas</w:t>
            </w:r>
          </w:p>
        </w:tc>
        <w:tc>
          <w:tcPr>
            <w:tcW w:type="dxa" w:w="2045"/>
            <w:vAlign w:val="top"/>
          </w:tcPr>
          <w:p>
            <w:r>
              <w:rPr>
                <w:sz w:val="15"/>
              </w:rPr>
              <w:t>Discover/transaction</w:t>
            </w:r>
          </w:p>
        </w:tc>
        <w:tc>
          <w:tcPr>
            <w:tcW w:type="dxa" w:w="2045"/>
            <w:vAlign w:val="top"/>
          </w:tcPr>
          <w:p>
            <w:r>
              <w:rPr>
                <w:sz w:val="15"/>
              </w:rPr>
              <w:t>Current public repo still lists protocol 0.0.1; validate adopted version</w:t>
            </w:r>
          </w:p>
        </w:tc>
      </w:tr>
      <w:tr>
        <w:tc>
          <w:tcPr>
            <w:tcW w:type="dxa" w:w="2045"/>
            <w:vAlign w:val="top"/>
          </w:tcPr>
          <w:p>
            <w:r>
              <w:rPr>
                <w:sz w:val="15"/>
              </w:rPr>
              <w:t>eSanjeevani</w:t>
            </w:r>
          </w:p>
        </w:tc>
        <w:tc>
          <w:tcPr>
            <w:tcW w:type="dxa" w:w="2045"/>
            <w:vAlign w:val="top"/>
          </w:tcPr>
          <w:p>
            <w:r>
              <w:rPr>
                <w:sz w:val="15"/>
              </w:rPr>
              <w:t>Integration/integration role verified at programme level; exact generic public API contract not established</w:t>
            </w:r>
          </w:p>
        </w:tc>
        <w:tc>
          <w:tcPr>
            <w:tcW w:type="dxa" w:w="2045"/>
            <w:vAlign w:val="top"/>
          </w:tcPr>
          <w:p>
            <w:r>
              <w:rPr>
                <w:sz w:val="15"/>
              </w:rPr>
              <w:t>eSanjeevani data model + ABDM where deployed</w:t>
            </w:r>
          </w:p>
        </w:tc>
        <w:tc>
          <w:tcPr>
            <w:tcW w:type="dxa" w:w="2045"/>
            <w:vAlign w:val="top"/>
          </w:tcPr>
          <w:p>
            <w:r>
              <w:rPr>
                <w:sz w:val="15"/>
              </w:rPr>
              <w:t>Trigger/use service + consume outcome</w:t>
            </w:r>
          </w:p>
        </w:tc>
        <w:tc>
          <w:tcPr>
            <w:tcW w:type="dxa" w:w="2045"/>
            <w:vAlign w:val="top"/>
          </w:tcPr>
          <w:p>
            <w:r>
              <w:rPr>
                <w:sz w:val="15"/>
              </w:rPr>
              <w:t>Exact production interface is deployment/onboarding dependent</w:t>
            </w:r>
          </w:p>
        </w:tc>
      </w:tr>
      <w:tr>
        <w:tc>
          <w:tcPr>
            <w:tcW w:type="dxa" w:w="2045"/>
            <w:vAlign w:val="top"/>
          </w:tcPr>
          <w:p>
            <w:r>
              <w:rPr>
                <w:sz w:val="15"/>
              </w:rPr>
              <w:t>RCH/ANMOL</w:t>
            </w:r>
          </w:p>
        </w:tc>
        <w:tc>
          <w:tcPr>
            <w:tcW w:type="dxa" w:w="2045"/>
            <w:vAlign w:val="top"/>
          </w:tcPr>
          <w:p>
            <w:r>
              <w:rPr>
                <w:sz w:val="15"/>
              </w:rPr>
              <w:t>Programme integration documented; exact public API contract not established here</w:t>
            </w:r>
          </w:p>
        </w:tc>
        <w:tc>
          <w:tcPr>
            <w:tcW w:type="dxa" w:w="2045"/>
            <w:vAlign w:val="top"/>
          </w:tcPr>
          <w:p>
            <w:r>
              <w:rPr>
                <w:sz w:val="15"/>
              </w:rPr>
              <w:t>Programme data + ABDM linkage where deployed</w:t>
            </w:r>
          </w:p>
        </w:tc>
        <w:tc>
          <w:tcPr>
            <w:tcW w:type="dxa" w:w="2045"/>
            <w:vAlign w:val="top"/>
          </w:tcPr>
          <w:p>
            <w:r>
              <w:rPr>
                <w:sz w:val="15"/>
              </w:rPr>
              <w:t>Consume programme state / trigger tasks</w:t>
            </w:r>
          </w:p>
        </w:tc>
        <w:tc>
          <w:tcPr>
            <w:tcW w:type="dxa" w:w="2045"/>
            <w:vAlign w:val="top"/>
          </w:tcPr>
          <w:p>
            <w:r>
              <w:rPr>
                <w:sz w:val="15"/>
              </w:rPr>
              <w:t>State/programme access and onboarding</w:t>
            </w:r>
          </w:p>
        </w:tc>
      </w:tr>
      <w:tr>
        <w:tc>
          <w:tcPr>
            <w:tcW w:type="dxa" w:w="2045"/>
            <w:vAlign w:val="top"/>
          </w:tcPr>
          <w:p>
            <w:r>
              <w:rPr>
                <w:sz w:val="15"/>
              </w:rPr>
              <w:t>NP-NCD</w:t>
            </w:r>
          </w:p>
        </w:tc>
        <w:tc>
          <w:tcPr>
            <w:tcW w:type="dxa" w:w="2045"/>
            <w:vAlign w:val="top"/>
          </w:tcPr>
          <w:p>
            <w:r>
              <w:rPr>
                <w:sz w:val="15"/>
              </w:rPr>
              <w:t>Official APIs/integration guidance exists for programme functions</w:t>
            </w:r>
          </w:p>
        </w:tc>
        <w:tc>
          <w:tcPr>
            <w:tcW w:type="dxa" w:w="2045"/>
            <w:vAlign w:val="top"/>
          </w:tcPr>
          <w:p>
            <w:r>
              <w:rPr>
                <w:sz w:val="15"/>
              </w:rPr>
              <w:t>Programme API + ABDM linkage</w:t>
            </w:r>
          </w:p>
        </w:tc>
        <w:tc>
          <w:tcPr>
            <w:tcW w:type="dxa" w:w="2045"/>
            <w:vAlign w:val="top"/>
          </w:tcPr>
          <w:p>
            <w:r>
              <w:rPr>
                <w:sz w:val="15"/>
              </w:rPr>
              <w:t>Consume screening/follow-up events</w:t>
            </w:r>
          </w:p>
        </w:tc>
        <w:tc>
          <w:tcPr>
            <w:tcW w:type="dxa" w:w="2045"/>
            <w:vAlign w:val="top"/>
          </w:tcPr>
          <w:p>
            <w:r>
              <w:rPr>
                <w:sz w:val="15"/>
              </w:rPr>
              <w:t>Credentials + programme onboarding</w:t>
            </w:r>
          </w:p>
        </w:tc>
      </w:tr>
      <w:tr>
        <w:tc>
          <w:tcPr>
            <w:tcW w:type="dxa" w:w="2045"/>
            <w:vAlign w:val="top"/>
          </w:tcPr>
          <w:p>
            <w:r>
              <w:rPr>
                <w:sz w:val="15"/>
              </w:rPr>
              <w:t>U-WIN</w:t>
            </w:r>
          </w:p>
        </w:tc>
        <w:tc>
          <w:tcPr>
            <w:tcW w:type="dxa" w:w="2045"/>
            <w:vAlign w:val="top"/>
          </w:tcPr>
          <w:p>
            <w:r>
              <w:rPr>
                <w:sz w:val="15"/>
              </w:rPr>
              <w:t>Programme APIs/integrations exist; exact public production contract not established here</w:t>
            </w:r>
          </w:p>
        </w:tc>
        <w:tc>
          <w:tcPr>
            <w:tcW w:type="dxa" w:w="2045"/>
            <w:vAlign w:val="top"/>
          </w:tcPr>
          <w:p>
            <w:r>
              <w:rPr>
                <w:sz w:val="15"/>
              </w:rPr>
              <w:t>U-WIN programme data</w:t>
            </w:r>
          </w:p>
        </w:tc>
        <w:tc>
          <w:tcPr>
            <w:tcW w:type="dxa" w:w="2045"/>
            <w:vAlign w:val="top"/>
          </w:tcPr>
          <w:p>
            <w:r>
              <w:rPr>
                <w:sz w:val="15"/>
              </w:rPr>
              <w:t>Consume immunization state</w:t>
            </w:r>
          </w:p>
        </w:tc>
        <w:tc>
          <w:tcPr>
            <w:tcW w:type="dxa" w:w="2045"/>
            <w:vAlign w:val="top"/>
          </w:tcPr>
          <w:p>
            <w:r>
              <w:rPr>
                <w:sz w:val="15"/>
              </w:rPr>
              <w:t>Controlled programme integration</w:t>
            </w:r>
          </w:p>
        </w:tc>
      </w:tr>
      <w:tr>
        <w:tc>
          <w:tcPr>
            <w:tcW w:type="dxa" w:w="2045"/>
            <w:vAlign w:val="top"/>
          </w:tcPr>
          <w:p>
            <w:r>
              <w:rPr>
                <w:sz w:val="15"/>
              </w:rPr>
              <w:t>Nikshay</w:t>
            </w:r>
          </w:p>
        </w:tc>
        <w:tc>
          <w:tcPr>
            <w:tcW w:type="dxa" w:w="2045"/>
            <w:vAlign w:val="top"/>
          </w:tcPr>
          <w:p>
            <w:r>
              <w:rPr>
                <w:sz w:val="15"/>
              </w:rPr>
              <w:t>FHIR compliance documented for Prescription and Diagnostic Report; exact public API contract not established here</w:t>
            </w:r>
          </w:p>
        </w:tc>
        <w:tc>
          <w:tcPr>
            <w:tcW w:type="dxa" w:w="2045"/>
            <w:vAlign w:val="top"/>
          </w:tcPr>
          <w:p>
            <w:r>
              <w:rPr>
                <w:sz w:val="15"/>
              </w:rPr>
              <w:t>FHIR + Nikshay domain model</w:t>
            </w:r>
          </w:p>
        </w:tc>
        <w:tc>
          <w:tcPr>
            <w:tcW w:type="dxa" w:w="2045"/>
            <w:vAlign w:val="top"/>
          </w:tcPr>
          <w:p>
            <w:r>
              <w:rPr>
                <w:sz w:val="15"/>
              </w:rPr>
              <w:t>Consume case/treatment milestones</w:t>
            </w:r>
          </w:p>
        </w:tc>
        <w:tc>
          <w:tcPr>
            <w:tcW w:type="dxa" w:w="2045"/>
            <w:vAlign w:val="top"/>
          </w:tcPr>
          <w:p>
            <w:r>
              <w:rPr>
                <w:sz w:val="15"/>
              </w:rPr>
              <w:t>Programme onboarding/authorization</w:t>
            </w:r>
          </w:p>
        </w:tc>
      </w:tr>
      <w:tr>
        <w:tc>
          <w:tcPr>
            <w:tcW w:type="dxa" w:w="2045"/>
            <w:vAlign w:val="top"/>
          </w:tcPr>
          <w:p>
            <w:r>
              <w:rPr>
                <w:sz w:val="15"/>
              </w:rPr>
              <w:t>PM-JAY</w:t>
            </w:r>
          </w:p>
        </w:tc>
        <w:tc>
          <w:tcPr>
            <w:tcW w:type="dxa" w:w="2045"/>
            <w:vAlign w:val="top"/>
          </w:tcPr>
          <w:p>
            <w:r>
              <w:rPr>
                <w:sz w:val="15"/>
              </w:rPr>
              <w:t>TMS/BIS/HEM systems and external API capability documented</w:t>
            </w:r>
          </w:p>
        </w:tc>
        <w:tc>
          <w:tcPr>
            <w:tcW w:type="dxa" w:w="2045"/>
            <w:vAlign w:val="top"/>
          </w:tcPr>
          <w:p>
            <w:r>
              <w:rPr>
                <w:sz w:val="15"/>
              </w:rPr>
              <w:t>PM-JAY transaction/package/claim model</w:t>
            </w:r>
          </w:p>
        </w:tc>
        <w:tc>
          <w:tcPr>
            <w:tcW w:type="dxa" w:w="2045"/>
            <w:vAlign w:val="top"/>
          </w:tcPr>
          <w:p>
            <w:r>
              <w:rPr>
                <w:sz w:val="15"/>
              </w:rPr>
              <w:t>Entitlement/facility context; not source of care</w:t>
            </w:r>
          </w:p>
        </w:tc>
        <w:tc>
          <w:tcPr>
            <w:tcW w:type="dxa" w:w="2045"/>
            <w:vAlign w:val="top"/>
          </w:tcPr>
          <w:p>
            <w:r>
              <w:rPr>
                <w:sz w:val="15"/>
              </w:rPr>
              <w:t>Controlled access; SHA/NHA governance</w:t>
            </w:r>
          </w:p>
        </w:tc>
      </w:tr>
      <w:tr>
        <w:tc>
          <w:tcPr>
            <w:tcW w:type="dxa" w:w="2045"/>
            <w:vAlign w:val="top"/>
          </w:tcPr>
          <w:p>
            <w:r>
              <w:rPr>
                <w:sz w:val="15"/>
              </w:rPr>
              <w:t>Diagnostics/LIS</w:t>
            </w:r>
          </w:p>
        </w:tc>
        <w:tc>
          <w:tcPr>
            <w:tcW w:type="dxa" w:w="2045"/>
            <w:vAlign w:val="top"/>
          </w:tcPr>
          <w:p>
            <w:r>
              <w:rPr>
                <w:sz w:val="15"/>
              </w:rPr>
              <w:t>State/facility-specific</w:t>
            </w:r>
          </w:p>
        </w:tc>
        <w:tc>
          <w:tcPr>
            <w:tcW w:type="dxa" w:w="2045"/>
            <w:vAlign w:val="top"/>
          </w:tcPr>
          <w:p>
            <w:r>
              <w:rPr>
                <w:sz w:val="15"/>
              </w:rPr>
              <w:t>FHIR DiagnosticReport/Observation/ServiceRequest where ABDM-compliant</w:t>
            </w:r>
          </w:p>
        </w:tc>
        <w:tc>
          <w:tcPr>
            <w:tcW w:type="dxa" w:w="2045"/>
            <w:vAlign w:val="top"/>
          </w:tcPr>
          <w:p>
            <w:r>
              <w:rPr>
                <w:sz w:val="15"/>
              </w:rPr>
              <w:t>Adapter + UHI where available</w:t>
            </w:r>
          </w:p>
        </w:tc>
        <w:tc>
          <w:tcPr>
            <w:tcW w:type="dxa" w:w="2045"/>
            <w:vAlign w:val="top"/>
          </w:tcPr>
          <w:p>
            <w:r>
              <w:rPr>
                <w:sz w:val="15"/>
              </w:rPr>
              <w:t>High variability across states/facilities</w:t>
            </w:r>
          </w:p>
        </w:tc>
      </w:tr>
      <w:tr>
        <w:tc>
          <w:tcPr>
            <w:tcW w:type="dxa" w:w="2045"/>
            <w:vAlign w:val="top"/>
          </w:tcPr>
          <w:p>
            <w:r>
              <w:rPr>
                <w:sz w:val="15"/>
              </w:rPr>
              <w:t>Drug/LMIS/DVDMS/e-Aushadhi</w:t>
            </w:r>
          </w:p>
        </w:tc>
        <w:tc>
          <w:tcPr>
            <w:tcW w:type="dxa" w:w="2045"/>
            <w:vAlign w:val="top"/>
          </w:tcPr>
          <w:p>
            <w:r>
              <w:rPr>
                <w:sz w:val="15"/>
              </w:rPr>
              <w:t>State-specific</w:t>
            </w:r>
          </w:p>
        </w:tc>
        <w:tc>
          <w:tcPr>
            <w:tcW w:type="dxa" w:w="2045"/>
            <w:vAlign w:val="top"/>
          </w:tcPr>
          <w:p>
            <w:r>
              <w:rPr>
                <w:sz w:val="15"/>
              </w:rPr>
              <w:t>Drug codes + state LMIS; FHIR MedicationRequest at clinical edge</w:t>
            </w:r>
          </w:p>
        </w:tc>
        <w:tc>
          <w:tcPr>
            <w:tcW w:type="dxa" w:w="2045"/>
            <w:vAlign w:val="top"/>
          </w:tcPr>
          <w:p>
            <w:r>
              <w:rPr>
                <w:sz w:val="15"/>
              </w:rPr>
              <w:t>Query availability + correlate prescription</w:t>
            </w:r>
          </w:p>
        </w:tc>
        <w:tc>
          <w:tcPr>
            <w:tcW w:type="dxa" w:w="2045"/>
            <w:vAlign w:val="top"/>
          </w:tcPr>
          <w:p>
            <w:r>
              <w:rPr>
                <w:sz w:val="15"/>
              </w:rPr>
              <w:t>Physical/digital stock synchronization is an operational risk</w:t>
            </w:r>
          </w:p>
        </w:tc>
      </w:tr>
      <w:tr>
        <w:tc>
          <w:tcPr>
            <w:tcW w:type="dxa" w:w="2045"/>
            <w:vAlign w:val="top"/>
          </w:tcPr>
          <w:p>
            <w:r>
              <w:rPr>
                <w:sz w:val="15"/>
              </w:rPr>
              <w:t>108/102</w:t>
            </w:r>
          </w:p>
        </w:tc>
        <w:tc>
          <w:tcPr>
            <w:tcW w:type="dxa" w:w="2045"/>
            <w:vAlign w:val="top"/>
          </w:tcPr>
          <w:p>
            <w:r>
              <w:rPr>
                <w:sz w:val="15"/>
              </w:rPr>
              <w:t>State operational systems; UHI has ambulance transaction patterns</w:t>
            </w:r>
          </w:p>
        </w:tc>
        <w:tc>
          <w:tcPr>
            <w:tcW w:type="dxa" w:w="2045"/>
            <w:vAlign w:val="top"/>
          </w:tcPr>
          <w:p>
            <w:r>
              <w:rPr>
                <w:sz w:val="15"/>
              </w:rPr>
              <w:t>UHI schema where participant is UHI-enabled; state EMS contracts otherwise</w:t>
            </w:r>
          </w:p>
        </w:tc>
        <w:tc>
          <w:tcPr>
            <w:tcW w:type="dxa" w:w="2045"/>
            <w:vAlign w:val="top"/>
          </w:tcPr>
          <w:p>
            <w:r>
              <w:rPr>
                <w:sz w:val="15"/>
              </w:rPr>
              <w:t>Request/track transport</w:t>
            </w:r>
          </w:p>
        </w:tc>
        <w:tc>
          <w:tcPr>
            <w:tcW w:type="dxa" w:w="2045"/>
            <w:vAlign w:val="top"/>
          </w:tcPr>
          <w:p>
            <w:r>
              <w:rPr>
                <w:sz w:val="15"/>
              </w:rPr>
              <w:t>State-specific interfaces and dispatch governance</w:t>
            </w:r>
          </w:p>
        </w:tc>
      </w:tr>
      <w:tr>
        <w:tc>
          <w:tcPr>
            <w:tcW w:type="dxa" w:w="2045"/>
            <w:vAlign w:val="top"/>
          </w:tcPr>
          <w:p>
            <w:r>
              <w:rPr>
                <w:sz w:val="15"/>
              </w:rPr>
              <w:t>Hospital HIS/LIS</w:t>
            </w:r>
          </w:p>
        </w:tc>
        <w:tc>
          <w:tcPr>
            <w:tcW w:type="dxa" w:w="2045"/>
            <w:vAlign w:val="top"/>
          </w:tcPr>
          <w:p>
            <w:r>
              <w:rPr>
                <w:sz w:val="15"/>
              </w:rPr>
              <w:t>Facility-specific but ABDM certification exists for compliant HMIS/LMIS</w:t>
            </w:r>
          </w:p>
        </w:tc>
        <w:tc>
          <w:tcPr>
            <w:tcW w:type="dxa" w:w="2045"/>
            <w:vAlign w:val="top"/>
          </w:tcPr>
          <w:p>
            <w:r>
              <w:rPr>
                <w:sz w:val="15"/>
              </w:rPr>
              <w:t>ABDM FHIR + local HIS schema</w:t>
            </w:r>
          </w:p>
        </w:tc>
        <w:tc>
          <w:tcPr>
            <w:tcW w:type="dxa" w:w="2045"/>
            <w:vAlign w:val="top"/>
          </w:tcPr>
          <w:p>
            <w:r>
              <w:rPr>
                <w:sz w:val="15"/>
              </w:rPr>
              <w:t>Adapter</w:t>
            </w:r>
          </w:p>
        </w:tc>
        <w:tc>
          <w:tcPr>
            <w:tcW w:type="dxa" w:w="2045"/>
            <w:vAlign w:val="top"/>
          </w:tcPr>
          <w:p>
            <w:r>
              <w:rPr>
                <w:sz w:val="15"/>
              </w:rPr>
              <w:t>Need facility technical onboarding</w:t>
            </w:r>
          </w:p>
        </w:tc>
      </w:tr>
    </w:tbl>
    <w:p/>
    <w:p>
      <w:pPr>
        <w:pStyle w:val="Heading1"/>
      </w:pPr>
      <w:r>
        <w:t>9. Recommended integration architecture</w:t>
      </w:r>
    </w:p>
    <w:p>
      <w:r>
        <w:t>The platform should implement a canonical internal care-orchestration model while keeping each external system as the authoritative owner of its domain. Use a gateway/adapter pattern so national, state and facility interfaces can change independently.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sz w:val="15"/>
              </w:rPr>
              <w:t>Layer</w:t>
            </w:r>
          </w:p>
        </w:tc>
        <w:tc>
          <w:tcPr>
            <w:tcW w:type="dxa" w:w="3408"/>
            <w:shd w:fill="D9E2F3"/>
            <w:vAlign w:val="center"/>
          </w:tcPr>
          <w:p>
            <w:r>
              <w:rPr>
                <w:b/>
                <w:sz w:val="15"/>
              </w:rPr>
              <w:t>Responsibilities</w:t>
            </w:r>
          </w:p>
        </w:tc>
        <w:tc>
          <w:tcPr>
            <w:tcW w:type="dxa" w:w="3408"/>
            <w:shd w:fill="D9E2F3"/>
            <w:vAlign w:val="center"/>
          </w:tcPr>
          <w:p>
            <w:r>
              <w:rPr>
                <w:b/>
                <w:sz w:val="15"/>
              </w:rPr>
              <w:t>Examples</w:t>
            </w:r>
          </w:p>
        </w:tc>
      </w:tr>
      <w:tr>
        <w:tc>
          <w:tcPr>
            <w:tcW w:type="dxa" w:w="3408"/>
            <w:vAlign w:val="top"/>
          </w:tcPr>
          <w:p>
            <w:r>
              <w:rPr>
                <w:sz w:val="15"/>
              </w:rPr>
              <w:t>Experience layer</w:t>
            </w:r>
          </w:p>
        </w:tc>
        <w:tc>
          <w:tcPr>
            <w:tcW w:type="dxa" w:w="3408"/>
            <w:vAlign w:val="top"/>
          </w:tcPr>
          <w:p>
            <w:r>
              <w:rPr>
                <w:sz w:val="15"/>
              </w:rPr>
              <w:t>Patient, caregiver and assisted worker UX; multilingual/low-literacy flows</w:t>
            </w:r>
          </w:p>
        </w:tc>
        <w:tc>
          <w:tcPr>
            <w:tcW w:type="dxa" w:w="3408"/>
            <w:vAlign w:val="top"/>
          </w:tcPr>
          <w:p>
            <w:r>
              <w:rPr>
                <w:sz w:val="15"/>
              </w:rPr>
              <w:t>PWA/mobile/worker console/voice</w:t>
            </w:r>
          </w:p>
        </w:tc>
      </w:tr>
      <w:tr>
        <w:tc>
          <w:tcPr>
            <w:tcW w:type="dxa" w:w="3408"/>
            <w:vAlign w:val="top"/>
          </w:tcPr>
          <w:p>
            <w:r>
              <w:rPr>
                <w:sz w:val="15"/>
              </w:rPr>
              <w:t>Care orchestration layer</w:t>
            </w:r>
          </w:p>
        </w:tc>
        <w:tc>
          <w:tcPr>
            <w:tcW w:type="dxa" w:w="3408"/>
            <w:vAlign w:val="top"/>
          </w:tcPr>
          <w:p>
            <w:r>
              <w:rPr>
                <w:sz w:val="15"/>
              </w:rPr>
              <w:t>Journey, triage state, referral lifecycle, follow-up, escalation, routing</w:t>
            </w:r>
          </w:p>
        </w:tc>
        <w:tc>
          <w:tcPr>
            <w:tcW w:type="dxa" w:w="3408"/>
            <w:vAlign w:val="top"/>
          </w:tcPr>
          <w:p>
            <w:r>
              <w:rPr>
                <w:sz w:val="15"/>
              </w:rPr>
              <w:t>Journey Engine, Referral Engine, Task Engine</w:t>
            </w:r>
          </w:p>
        </w:tc>
      </w:tr>
      <w:tr>
        <w:tc>
          <w:tcPr>
            <w:tcW w:type="dxa" w:w="3408"/>
            <w:vAlign w:val="top"/>
          </w:tcPr>
          <w:p>
            <w:r>
              <w:rPr>
                <w:sz w:val="15"/>
              </w:rPr>
              <w:t>Integration layer</w:t>
            </w:r>
          </w:p>
        </w:tc>
        <w:tc>
          <w:tcPr>
            <w:tcW w:type="dxa" w:w="3408"/>
            <w:vAlign w:val="top"/>
          </w:tcPr>
          <w:p>
            <w:r>
              <w:rPr>
                <w:sz w:val="15"/>
              </w:rPr>
              <w:t>API gateway, transformation, protocol handlers, retries, eventing</w:t>
            </w:r>
          </w:p>
        </w:tc>
        <w:tc>
          <w:tcPr>
            <w:tcW w:type="dxa" w:w="3408"/>
            <w:vAlign w:val="top"/>
          </w:tcPr>
          <w:p>
            <w:r>
              <w:rPr>
                <w:sz w:val="15"/>
              </w:rPr>
              <w:t>ABDM adapter, UHI adapter, state adapters, HIS/LIS adapters</w:t>
            </w:r>
          </w:p>
        </w:tc>
      </w:tr>
      <w:tr>
        <w:tc>
          <w:tcPr>
            <w:tcW w:type="dxa" w:w="3408"/>
            <w:vAlign w:val="top"/>
          </w:tcPr>
          <w:p>
            <w:r>
              <w:rPr>
                <w:sz w:val="15"/>
              </w:rPr>
              <w:t>Canonical clinical model</w:t>
            </w:r>
          </w:p>
        </w:tc>
        <w:tc>
          <w:tcPr>
            <w:tcW w:type="dxa" w:w="3408"/>
            <w:vAlign w:val="top"/>
          </w:tcPr>
          <w:p>
            <w:r>
              <w:rPr>
                <w:sz w:val="15"/>
              </w:rPr>
              <w:t>FHIR-aligned internal representation</w:t>
            </w:r>
          </w:p>
        </w:tc>
        <w:tc>
          <w:tcPr>
            <w:tcW w:type="dxa" w:w="3408"/>
            <w:vAlign w:val="top"/>
          </w:tcPr>
          <w:p>
            <w:r>
              <w:rPr>
                <w:sz w:val="15"/>
              </w:rPr>
              <w:t>Patient, Encounter, Condition, Observation, ServiceRequest, CarePlan, Task, Appointment</w:t>
            </w:r>
          </w:p>
        </w:tc>
      </w:tr>
      <w:tr>
        <w:tc>
          <w:tcPr>
            <w:tcW w:type="dxa" w:w="3408"/>
            <w:vAlign w:val="top"/>
          </w:tcPr>
          <w:p>
            <w:r>
              <w:rPr>
                <w:sz w:val="15"/>
              </w:rPr>
              <w:t>Trust/security</w:t>
            </w:r>
          </w:p>
        </w:tc>
        <w:tc>
          <w:tcPr>
            <w:tcW w:type="dxa" w:w="3408"/>
            <w:vAlign w:val="top"/>
          </w:tcPr>
          <w:p>
            <w:r>
              <w:rPr>
                <w:sz w:val="15"/>
              </w:rPr>
              <w:t>Identity mapping, consent, authorization, audit</w:t>
            </w:r>
          </w:p>
        </w:tc>
        <w:tc>
          <w:tcPr>
            <w:tcW w:type="dxa" w:w="3408"/>
            <w:vAlign w:val="top"/>
          </w:tcPr>
          <w:p>
            <w:r>
              <w:rPr>
                <w:sz w:val="15"/>
              </w:rPr>
              <w:t>ABHA, HIE-CM, RBAC/ABAC, audit logs</w:t>
            </w:r>
          </w:p>
        </w:tc>
      </w:tr>
      <w:tr>
        <w:tc>
          <w:tcPr>
            <w:tcW w:type="dxa" w:w="3408"/>
            <w:vAlign w:val="top"/>
          </w:tcPr>
          <w:p>
            <w:r>
              <w:rPr>
                <w:sz w:val="15"/>
              </w:rPr>
              <w:t>Analytics</w:t>
            </w:r>
          </w:p>
        </w:tc>
        <w:tc>
          <w:tcPr>
            <w:tcW w:type="dxa" w:w="3408"/>
            <w:vAlign w:val="top"/>
          </w:tcPr>
          <w:p>
            <w:r>
              <w:rPr>
                <w:sz w:val="15"/>
              </w:rPr>
              <w:t>Operational KPIs, bottleneck detection, SLA monitoring</w:t>
            </w:r>
          </w:p>
        </w:tc>
        <w:tc>
          <w:tcPr>
            <w:tcW w:type="dxa" w:w="3408"/>
            <w:vAlign w:val="top"/>
          </w:tcPr>
          <w:p>
            <w:r>
              <w:rPr>
                <w:sz w:val="15"/>
              </w:rPr>
              <w:t>Referral closure, diagnostic completion, waiting time</w:t>
            </w:r>
          </w:p>
        </w:tc>
      </w:tr>
    </w:tbl>
    <w:p/>
    <w:p>
      <w:pPr>
        <w:pStyle w:val="Heading1"/>
      </w:pPr>
      <w:r>
        <w:t>10. Production data-flow examples</w:t>
      </w:r>
    </w:p>
    <w:p>
      <w:pPr>
        <w:pStyle w:val="Heading2"/>
      </w:pPr>
      <w:r>
        <w:t>10.1 Patient record retrieval</w:t>
      </w:r>
    </w:p>
    <w:p>
      <w:r>
        <w:t>1) Worker identifies patient with ABHA/appropriate identifier. 2) Care team requests consent for relevant purpose. 3) HIE-CM manages/records the consent interaction. 4) Participating HIPs return the requested health information using ABDM exchange mechanisms. 5) The platform normalizes the received FHIR bundles into a read-optimized journey view. 6) Source provenance is retained for every clinical element. The platform should never silently overwrite the source record.</w:t>
      </w:r>
    </w:p>
    <w:p>
      <w:pPr>
        <w:pStyle w:val="Heading2"/>
      </w:pPr>
      <w:r>
        <w:t>10.2 Referral orchestration</w:t>
      </w:r>
    </w:p>
    <w:p>
      <w:r>
        <w:t>1) Clinician/engine creates ServiceRequest/referral intent. 2) Care engine chooses target service requirements. 3) HFR/HPR provide verified facility/provider candidates. 4) UHI is used when the service is discoverable/transactionable through UHI. 5) Platform records its own Referral and Task state. 6) Completion evidence comes from the destination system, appointment/encounter event, diagnostic result or explicit human confirmation. 7) Follow-up task is generated and the original facility is notified.</w:t>
      </w:r>
    </w:p>
    <w:p>
      <w:pPr>
        <w:pStyle w:val="Heading2"/>
      </w:pPr>
      <w:r>
        <w:t>10.3 Diagnostic coordination</w:t>
      </w:r>
    </w:p>
    <w:p>
      <w:r>
        <w:t>1) Clinician issues ServiceRequest. 2) Platform searches for an appropriate diagnostic capability. 3) If UHI-compatible, use UHI discovery/booking; otherwise use the state/facility adapter. 4) Lab returns DiagnosticReport + Observation data where ABDM/FHIR compliant. 5) Platform correlates the report with the journey and moves the clinical task to the next state. 6) If results are delayed beyond SLA, the task engine escalates rather than waiting passively.</w:t>
      </w:r>
    </w:p>
    <w:p>
      <w:pPr>
        <w:pStyle w:val="Heading2"/>
      </w:pPr>
      <w:r>
        <w:t>10.4 Medicine availability</w:t>
      </w:r>
    </w:p>
    <w:p>
      <w:r>
        <w:t>1) MedicationRequest/prescription is received or linked. 2) Platform extracts standardized medicine code, strength, dose and route. 3) Availability is queried from an authoritative government/facility drug system where an interface exists. 4) If stock is unavailable, the system can identify another authorized government outlet or flag the exception for a human rather than silently substituting a drug.</w:t>
      </w:r>
    </w:p>
    <w:p>
      <w:pPr>
        <w:pStyle w:val="Heading1"/>
      </w:pPr>
      <w:r>
        <w:t>11. Production rules we should lock before coding</w:t>
      </w:r>
    </w:p>
    <w:p>
      <w:pPr>
        <w:pStyle w:val="ListBullet"/>
      </w:pPr>
      <w:r>
        <w:t>Pin the ABDM FHIR release used by the pilot and validate all outbound bundles with the NRCeS package/validator.</w:t>
      </w:r>
    </w:p>
    <w:p>
      <w:pPr>
        <w:pStyle w:val="ListBullet"/>
      </w:pPr>
      <w:r>
        <w:t>Treat UHI as an evolving protocol: isolate UHI version-specific code behind an adapter and validate against the currently adopted network version during onboarding.</w:t>
      </w:r>
    </w:p>
    <w:p>
      <w:pPr>
        <w:pStyle w:val="ListBullet"/>
      </w:pPr>
      <w:r>
        <w:t>Use ABHA/HFR/HPR identifiers only where authorized; maintain a separate internal Journey ID so the platform can track a care episode without inventing a replacement national identity.</w:t>
      </w:r>
    </w:p>
    <w:p>
      <w:pPr>
        <w:pStyle w:val="ListBullet"/>
      </w:pPr>
      <w:r>
        <w:t>Store source-system identifiers alongside every normalized record to preserve provenance and support reconciliation.</w:t>
      </w:r>
    </w:p>
    <w:p>
      <w:pPr>
        <w:pStyle w:val="ListBullet"/>
      </w:pPr>
      <w:r>
        <w:t>Every integration must support idempotency keys, correlation IDs, retry policy, timeout policy, dead-letter handling and an operational audit trail.</w:t>
      </w:r>
    </w:p>
    <w:p>
      <w:pPr>
        <w:pStyle w:val="ListBullet"/>
      </w:pPr>
      <w:r>
        <w:t>Design offline as a synchronized task/queue model, not as indefinite local clinical-record mutation. Critical actions need explicit conflict resolution.</w:t>
      </w:r>
    </w:p>
    <w:p>
      <w:pPr>
        <w:pStyle w:val="ListBullet"/>
      </w:pPr>
      <w:r>
        <w:t>Do not automatically transform a failed external API call into a clinical decision. The system should fall back to a human/phone/manual workflow where appropriate.</w:t>
      </w:r>
    </w:p>
    <w:p>
      <w:pPr>
        <w:pStyle w:val="ListBullet"/>
      </w:pPr>
      <w:r>
        <w:t>Make consent state explicit in the data model: requested, pending, granted, denied, expired, revoked, purpose, scope and timestamp.</w:t>
      </w:r>
    </w:p>
    <w:p>
      <w:pPr>
        <w:pStyle w:val="ListBullet"/>
      </w:pPr>
      <w:r>
        <w:t>Keep AI outside the authoritative clinical record unless a qualified human validates the generated content.</w:t>
      </w:r>
    </w:p>
    <w:p>
      <w:pPr>
        <w:pStyle w:val="ListBullet"/>
      </w:pPr>
      <w:r>
        <w:t>Separate clinical truth from operational truth: the hospital owns its encounter/result; our platform owns the journey/referral/task state.</w:t>
      </w:r>
    </w:p>
    <w:p>
      <w:pPr>
        <w:pStyle w:val="Heading1"/>
      </w:pPr>
      <w:r>
        <w:t>12. Technical questions still requiring owner confirmation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sz w:val="15"/>
              </w:rPr>
              <w:t>Question</w:t>
            </w:r>
          </w:p>
        </w:tc>
        <w:tc>
          <w:tcPr>
            <w:tcW w:type="dxa" w:w="3408"/>
            <w:shd w:fill="D9E2F3"/>
            <w:vAlign w:val="center"/>
          </w:tcPr>
          <w:p>
            <w:r>
              <w:rPr>
                <w:b/>
                <w:sz w:val="15"/>
              </w:rPr>
              <w:t>Why it matters</w:t>
            </w:r>
          </w:p>
        </w:tc>
        <w:tc>
          <w:tcPr>
            <w:tcW w:type="dxa" w:w="3408"/>
            <w:shd w:fill="D9E2F3"/>
            <w:vAlign w:val="center"/>
          </w:tcPr>
          <w:p>
            <w:r>
              <w:rPr>
                <w:b/>
                <w:sz w:val="15"/>
              </w:rPr>
              <w:t>Current evidence status</w:t>
            </w:r>
          </w:p>
        </w:tc>
      </w:tr>
      <w:tr>
        <w:tc>
          <w:tcPr>
            <w:tcW w:type="dxa" w:w="3408"/>
            <w:vAlign w:val="top"/>
          </w:tcPr>
          <w:p>
            <w:r>
              <w:rPr>
                <w:sz w:val="15"/>
              </w:rPr>
              <w:t>Which exact ABDM API version and profiles are mandated for our pilot?</w:t>
            </w:r>
          </w:p>
        </w:tc>
        <w:tc>
          <w:tcPr>
            <w:tcW w:type="dxa" w:w="3408"/>
            <w:vAlign w:val="top"/>
          </w:tcPr>
          <w:p>
            <w:r>
              <w:rPr>
                <w:sz w:val="15"/>
              </w:rPr>
              <w:t>Prevents building against stale endpoint/profile versions</w:t>
            </w:r>
          </w:p>
        </w:tc>
        <w:tc>
          <w:tcPr>
            <w:tcW w:type="dxa" w:w="3408"/>
            <w:vAlign w:val="top"/>
          </w:tcPr>
          <w:p>
            <w:r>
              <w:rPr>
                <w:sz w:val="15"/>
              </w:rPr>
              <w:t>Must be pinned during onboarding; v6.5 published + v7 development build exist</w:t>
            </w:r>
          </w:p>
        </w:tc>
      </w:tr>
      <w:tr>
        <w:tc>
          <w:tcPr>
            <w:tcW w:type="dxa" w:w="3408"/>
            <w:vAlign w:val="top"/>
          </w:tcPr>
          <w:p>
            <w:r>
              <w:rPr>
                <w:sz w:val="15"/>
              </w:rPr>
              <w:t>Which UHI protocol version is currently admitted for live transactions?</w:t>
            </w:r>
          </w:p>
        </w:tc>
        <w:tc>
          <w:tcPr>
            <w:tcW w:type="dxa" w:w="3408"/>
            <w:vAlign w:val="top"/>
          </w:tcPr>
          <w:p>
            <w:r>
              <w:rPr>
                <w:sz w:val="15"/>
              </w:rPr>
              <w:t>Public repo lists 0.0.1 while UHI was launched in 2026</w:t>
            </w:r>
          </w:p>
        </w:tc>
        <w:tc>
          <w:tcPr>
            <w:tcW w:type="dxa" w:w="3408"/>
            <w:vAlign w:val="top"/>
          </w:tcPr>
          <w:p>
            <w:r>
              <w:rPr>
                <w:sz w:val="15"/>
              </w:rPr>
              <w:t>Needs onboarding confirmation</w:t>
            </w:r>
          </w:p>
        </w:tc>
      </w:tr>
      <w:tr>
        <w:tc>
          <w:tcPr>
            <w:tcW w:type="dxa" w:w="3408"/>
            <w:vAlign w:val="top"/>
          </w:tcPr>
          <w:p>
            <w:r>
              <w:rPr>
                <w:sz w:val="15"/>
              </w:rPr>
              <w:t>Does eSanjeevani expose a partner-facing API for our exact use case?</w:t>
            </w:r>
          </w:p>
        </w:tc>
        <w:tc>
          <w:tcPr>
            <w:tcW w:type="dxa" w:w="3408"/>
            <w:vAlign w:val="top"/>
          </w:tcPr>
          <w:p>
            <w:r>
              <w:rPr>
                <w:sz w:val="15"/>
              </w:rPr>
              <w:t>Determines whether direct integration is possible or requires a workflow handoff</w:t>
            </w:r>
          </w:p>
        </w:tc>
        <w:tc>
          <w:tcPr>
            <w:tcW w:type="dxa" w:w="3408"/>
            <w:vAlign w:val="top"/>
          </w:tcPr>
          <w:p>
            <w:r>
              <w:rPr>
                <w:sz w:val="15"/>
              </w:rPr>
              <w:t>Programme integration verified; exact contract not publicly established here</w:t>
            </w:r>
          </w:p>
        </w:tc>
      </w:tr>
      <w:tr>
        <w:tc>
          <w:tcPr>
            <w:tcW w:type="dxa" w:w="3408"/>
            <w:vAlign w:val="top"/>
          </w:tcPr>
          <w:p>
            <w:r>
              <w:rPr>
                <w:sz w:val="15"/>
              </w:rPr>
              <w:t>Which RCH/NP-NCD/U-WIN/Nikshay APIs are available to third-party or state-authorized integrators?</w:t>
            </w:r>
          </w:p>
        </w:tc>
        <w:tc>
          <w:tcPr>
            <w:tcW w:type="dxa" w:w="3408"/>
            <w:vAlign w:val="top"/>
          </w:tcPr>
          <w:p>
            <w:r>
              <w:rPr>
                <w:sz w:val="15"/>
              </w:rPr>
              <w:t>Determines adapter design</w:t>
            </w:r>
          </w:p>
        </w:tc>
        <w:tc>
          <w:tcPr>
            <w:tcW w:type="dxa" w:w="3408"/>
            <w:vAlign w:val="top"/>
          </w:tcPr>
          <w:p>
            <w:r>
              <w:rPr>
                <w:sz w:val="15"/>
              </w:rPr>
              <w:t>Varies by programme; must confirm with owner</w:t>
            </w:r>
          </w:p>
        </w:tc>
      </w:tr>
      <w:tr>
        <w:tc>
          <w:tcPr>
            <w:tcW w:type="dxa" w:w="3408"/>
            <w:vAlign w:val="top"/>
          </w:tcPr>
          <w:p>
            <w:r>
              <w:rPr>
                <w:sz w:val="15"/>
              </w:rPr>
              <w:t>Which Tamil Nadu systems expose integration interfaces?</w:t>
            </w:r>
          </w:p>
        </w:tc>
        <w:tc>
          <w:tcPr>
            <w:tcW w:type="dxa" w:w="3408"/>
            <w:vAlign w:val="top"/>
          </w:tcPr>
          <w:p>
            <w:r>
              <w:rPr>
                <w:sz w:val="15"/>
              </w:rPr>
              <w:t>Critical for pilot feasibility</w:t>
            </w:r>
          </w:p>
        </w:tc>
        <w:tc>
          <w:tcPr>
            <w:tcW w:type="dxa" w:w="3408"/>
            <w:vAlign w:val="top"/>
          </w:tcPr>
          <w:p>
            <w:r>
              <w:rPr>
                <w:sz w:val="15"/>
              </w:rPr>
              <w:t>State/facility research required</w:t>
            </w:r>
          </w:p>
        </w:tc>
      </w:tr>
      <w:tr>
        <w:tc>
          <w:tcPr>
            <w:tcW w:type="dxa" w:w="3408"/>
            <w:vAlign w:val="top"/>
          </w:tcPr>
          <w:p>
            <w:r>
              <w:rPr>
                <w:sz w:val="15"/>
              </w:rPr>
              <w:t>How are 108/102 transport requests exposed in the pilot geography?</w:t>
            </w:r>
          </w:p>
        </w:tc>
        <w:tc>
          <w:tcPr>
            <w:tcW w:type="dxa" w:w="3408"/>
            <w:vAlign w:val="top"/>
          </w:tcPr>
          <w:p>
            <w:r>
              <w:rPr>
                <w:sz w:val="15"/>
              </w:rPr>
              <w:t>Needed for automated referral-to-transport flow</w:t>
            </w:r>
          </w:p>
        </w:tc>
        <w:tc>
          <w:tcPr>
            <w:tcW w:type="dxa" w:w="3408"/>
            <w:vAlign w:val="top"/>
          </w:tcPr>
          <w:p>
            <w:r>
              <w:rPr>
                <w:sz w:val="15"/>
              </w:rPr>
              <w:t>State-specific</w:t>
            </w:r>
          </w:p>
        </w:tc>
      </w:tr>
      <w:tr>
        <w:tc>
          <w:tcPr>
            <w:tcW w:type="dxa" w:w="3408"/>
            <w:vAlign w:val="top"/>
          </w:tcPr>
          <w:p>
            <w:r>
              <w:rPr>
                <w:sz w:val="15"/>
              </w:rPr>
              <w:t>What exact stock API or report feed is available for government pharmacies?</w:t>
            </w:r>
          </w:p>
        </w:tc>
        <w:tc>
          <w:tcPr>
            <w:tcW w:type="dxa" w:w="3408"/>
            <w:vAlign w:val="top"/>
          </w:tcPr>
          <w:p>
            <w:r>
              <w:rPr>
                <w:sz w:val="15"/>
              </w:rPr>
              <w:t>Needed for medicine availability feature</w:t>
            </w:r>
          </w:p>
        </w:tc>
        <w:tc>
          <w:tcPr>
            <w:tcW w:type="dxa" w:w="3408"/>
            <w:vAlign w:val="top"/>
          </w:tcPr>
          <w:p>
            <w:r>
              <w:rPr>
                <w:sz w:val="15"/>
              </w:rPr>
              <w:t>State-specific</w:t>
            </w:r>
          </w:p>
        </w:tc>
      </w:tr>
      <w:tr>
        <w:tc>
          <w:tcPr>
            <w:tcW w:type="dxa" w:w="3408"/>
            <w:vAlign w:val="top"/>
          </w:tcPr>
          <w:p>
            <w:r>
              <w:rPr>
                <w:sz w:val="15"/>
              </w:rPr>
              <w:t>Which laboratories/HIS in pilot facilities are ABDM-enabled HIPs?</w:t>
            </w:r>
          </w:p>
        </w:tc>
        <w:tc>
          <w:tcPr>
            <w:tcW w:type="dxa" w:w="3408"/>
            <w:vAlign w:val="top"/>
          </w:tcPr>
          <w:p>
            <w:r>
              <w:rPr>
                <w:sz w:val="15"/>
              </w:rPr>
              <w:t>Determines real end-to-end testability</w:t>
            </w:r>
          </w:p>
        </w:tc>
        <w:tc>
          <w:tcPr>
            <w:tcW w:type="dxa" w:w="3408"/>
            <w:vAlign w:val="top"/>
          </w:tcPr>
          <w:p>
            <w:r>
              <w:rPr>
                <w:sz w:val="15"/>
              </w:rPr>
              <w:t>Requires facility inventory/onboarding</w:t>
            </w:r>
          </w:p>
        </w:tc>
      </w:tr>
      <w:tr>
        <w:tc>
          <w:tcPr>
            <w:tcW w:type="dxa" w:w="3408"/>
            <w:vAlign w:val="top"/>
          </w:tcPr>
          <w:p>
            <w:r>
              <w:rPr>
                <w:sz w:val="15"/>
              </w:rPr>
              <w:t>What is the approved production authentication/certificate model for each adapter?</w:t>
            </w:r>
          </w:p>
        </w:tc>
        <w:tc>
          <w:tcPr>
            <w:tcW w:type="dxa" w:w="3408"/>
            <w:vAlign w:val="top"/>
          </w:tcPr>
          <w:p>
            <w:r>
              <w:rPr>
                <w:sz w:val="15"/>
              </w:rPr>
              <w:t>Security and deployment</w:t>
            </w:r>
          </w:p>
        </w:tc>
        <w:tc>
          <w:tcPr>
            <w:tcW w:type="dxa" w:w="3408"/>
            <w:vAlign w:val="top"/>
          </w:tcPr>
          <w:p>
            <w:r>
              <w:rPr>
                <w:sz w:val="15"/>
              </w:rPr>
              <w:t>Requires system-owner confirmation</w:t>
            </w:r>
          </w:p>
        </w:tc>
      </w:tr>
    </w:tbl>
    <w:p/>
    <w:p>
      <w:pPr>
        <w:pStyle w:val="Heading1"/>
      </w:pPr>
      <w:r>
        <w:t>13. Final technical boundary of our platform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sz w:val="15"/>
              </w:rPr>
              <w:t>Own in our platform</w:t>
            </w:r>
          </w:p>
        </w:tc>
        <w:tc>
          <w:tcPr>
            <w:tcW w:type="dxa" w:w="3408"/>
            <w:shd w:fill="D9E2F3"/>
            <w:vAlign w:val="center"/>
          </w:tcPr>
          <w:p>
            <w:r>
              <w:rPr>
                <w:b/>
                <w:sz w:val="15"/>
              </w:rPr>
              <w:t>Consume/integrate from ecosystem</w:t>
            </w:r>
          </w:p>
        </w:tc>
        <w:tc>
          <w:tcPr>
            <w:tcW w:type="dxa" w:w="3408"/>
            <w:shd w:fill="D9E2F3"/>
            <w:vAlign w:val="center"/>
          </w:tcPr>
          <w:p>
            <w:r>
              <w:rPr>
                <w:b/>
                <w:sz w:val="15"/>
              </w:rPr>
              <w:t>Never duplicate as authoritative master</w:t>
            </w:r>
          </w:p>
        </w:tc>
      </w:tr>
      <w:tr>
        <w:tc>
          <w:tcPr>
            <w:tcW w:type="dxa" w:w="3408"/>
            <w:vAlign w:val="top"/>
          </w:tcPr>
          <w:p>
            <w:r>
              <w:rPr>
                <w:sz w:val="15"/>
              </w:rPr>
              <w:t>CareJourney / Journey state</w:t>
            </w:r>
          </w:p>
        </w:tc>
        <w:tc>
          <w:tcPr>
            <w:tcW w:type="dxa" w:w="3408"/>
            <w:vAlign w:val="top"/>
          </w:tcPr>
          <w:p>
            <w:r>
              <w:rPr>
                <w:sz w:val="15"/>
              </w:rPr>
              <w:t>ABHA identity</w:t>
            </w:r>
          </w:p>
        </w:tc>
        <w:tc>
          <w:tcPr>
            <w:tcW w:type="dxa" w:w="3408"/>
            <w:vAlign w:val="top"/>
          </w:tcPr>
          <w:p>
            <w:r>
              <w:rPr>
                <w:sz w:val="15"/>
              </w:rPr>
              <w:t>National patient identifier</w:t>
            </w:r>
          </w:p>
        </w:tc>
      </w:tr>
      <w:tr>
        <w:tc>
          <w:tcPr>
            <w:tcW w:type="dxa" w:w="3408"/>
            <w:vAlign w:val="top"/>
          </w:tcPr>
          <w:p>
            <w:r>
              <w:rPr>
                <w:sz w:val="15"/>
              </w:rPr>
              <w:t>Referral + Task lifecycle</w:t>
            </w:r>
          </w:p>
        </w:tc>
        <w:tc>
          <w:tcPr>
            <w:tcW w:type="dxa" w:w="3408"/>
            <w:vAlign w:val="top"/>
          </w:tcPr>
          <w:p>
            <w:r>
              <w:rPr>
                <w:sz w:val="15"/>
              </w:rPr>
              <w:t>HFR/HPR</w:t>
            </w:r>
          </w:p>
        </w:tc>
        <w:tc>
          <w:tcPr>
            <w:tcW w:type="dxa" w:w="3408"/>
            <w:vAlign w:val="top"/>
          </w:tcPr>
          <w:p>
            <w:r>
              <w:rPr>
                <w:sz w:val="15"/>
              </w:rPr>
              <w:t>Facility/professional master registry</w:t>
            </w:r>
          </w:p>
        </w:tc>
      </w:tr>
      <w:tr>
        <w:tc>
          <w:tcPr>
            <w:tcW w:type="dxa" w:w="3408"/>
            <w:vAlign w:val="top"/>
          </w:tcPr>
          <w:p>
            <w:r>
              <w:rPr>
                <w:sz w:val="15"/>
              </w:rPr>
              <w:t>Next-best operational action</w:t>
            </w:r>
          </w:p>
        </w:tc>
        <w:tc>
          <w:tcPr>
            <w:tcW w:type="dxa" w:w="3408"/>
            <w:vAlign w:val="top"/>
          </w:tcPr>
          <w:p>
            <w:r>
              <w:rPr>
                <w:sz w:val="15"/>
              </w:rPr>
              <w:t>HIE-CM/ABDM health records</w:t>
            </w:r>
          </w:p>
        </w:tc>
        <w:tc>
          <w:tcPr>
            <w:tcW w:type="dxa" w:w="3408"/>
            <w:vAlign w:val="top"/>
          </w:tcPr>
          <w:p>
            <w:r>
              <w:rPr>
                <w:sz w:val="15"/>
              </w:rPr>
              <w:t>Provider-owned clinical record</w:t>
            </w:r>
          </w:p>
        </w:tc>
      </w:tr>
      <w:tr>
        <w:tc>
          <w:tcPr>
            <w:tcW w:type="dxa" w:w="3408"/>
            <w:vAlign w:val="top"/>
          </w:tcPr>
          <w:p>
            <w:r>
              <w:rPr>
                <w:sz w:val="15"/>
              </w:rPr>
              <w:t>Cross-system correlation</w:t>
            </w:r>
          </w:p>
        </w:tc>
        <w:tc>
          <w:tcPr>
            <w:tcW w:type="dxa" w:w="3408"/>
            <w:vAlign w:val="top"/>
          </w:tcPr>
          <w:p>
            <w:r>
              <w:rPr>
                <w:sz w:val="15"/>
              </w:rPr>
              <w:t>UHI discovery/transactions</w:t>
            </w:r>
          </w:p>
        </w:tc>
        <w:tc>
          <w:tcPr>
            <w:tcW w:type="dxa" w:w="3408"/>
            <w:vAlign w:val="top"/>
          </w:tcPr>
          <w:p>
            <w:r>
              <w:rPr>
                <w:sz w:val="15"/>
              </w:rPr>
              <w:t>National service marketplace protocol</w:t>
            </w:r>
          </w:p>
        </w:tc>
      </w:tr>
      <w:tr>
        <w:tc>
          <w:tcPr>
            <w:tcW w:type="dxa" w:w="3408"/>
            <w:vAlign w:val="top"/>
          </w:tcPr>
          <w:p>
            <w:r>
              <w:rPr>
                <w:sz w:val="15"/>
              </w:rPr>
              <w:t>Offline task sync</w:t>
            </w:r>
          </w:p>
        </w:tc>
        <w:tc>
          <w:tcPr>
            <w:tcW w:type="dxa" w:w="3408"/>
            <w:vAlign w:val="top"/>
          </w:tcPr>
          <w:p>
            <w:r>
              <w:rPr>
                <w:sz w:val="15"/>
              </w:rPr>
              <w:t>eSanjeevani</w:t>
            </w:r>
          </w:p>
        </w:tc>
        <w:tc>
          <w:tcPr>
            <w:tcW w:type="dxa" w:w="3408"/>
            <w:vAlign w:val="top"/>
          </w:tcPr>
          <w:p>
            <w:r>
              <w:rPr>
                <w:sz w:val="15"/>
              </w:rPr>
              <w:t>Telemedicine system of record</w:t>
            </w:r>
          </w:p>
        </w:tc>
      </w:tr>
      <w:tr>
        <w:tc>
          <w:tcPr>
            <w:tcW w:type="dxa" w:w="3408"/>
            <w:vAlign w:val="top"/>
          </w:tcPr>
          <w:p>
            <w:r>
              <w:rPr>
                <w:sz w:val="15"/>
              </w:rPr>
              <w:t>Operational quality analytics</w:t>
            </w:r>
          </w:p>
        </w:tc>
        <w:tc>
          <w:tcPr>
            <w:tcW w:type="dxa" w:w="3408"/>
            <w:vAlign w:val="top"/>
          </w:tcPr>
          <w:p>
            <w:r>
              <w:rPr>
                <w:sz w:val="15"/>
              </w:rPr>
              <w:t>RCH/NCD/U-WIN/Nikshay</w:t>
            </w:r>
          </w:p>
        </w:tc>
        <w:tc>
          <w:tcPr>
            <w:tcW w:type="dxa" w:w="3408"/>
            <w:vAlign w:val="top"/>
          </w:tcPr>
          <w:p>
            <w:r>
              <w:rPr>
                <w:sz w:val="15"/>
              </w:rPr>
              <w:t>Disease-program source databases</w:t>
            </w:r>
          </w:p>
        </w:tc>
      </w:tr>
      <w:tr>
        <w:tc>
          <w:tcPr>
            <w:tcW w:type="dxa" w:w="3408"/>
            <w:vAlign w:val="top"/>
          </w:tcPr>
          <w:p>
            <w:r>
              <w:rPr>
                <w:sz w:val="15"/>
              </w:rPr>
              <w:t>Escalation/SLA engine</w:t>
            </w:r>
          </w:p>
        </w:tc>
        <w:tc>
          <w:tcPr>
            <w:tcW w:type="dxa" w:w="3408"/>
            <w:vAlign w:val="top"/>
          </w:tcPr>
          <w:p>
            <w:r>
              <w:rPr>
                <w:sz w:val="15"/>
              </w:rPr>
              <w:t>Diagnostics/LIS</w:t>
            </w:r>
          </w:p>
        </w:tc>
        <w:tc>
          <w:tcPr>
            <w:tcW w:type="dxa" w:w="3408"/>
            <w:vAlign w:val="top"/>
          </w:tcPr>
          <w:p>
            <w:r>
              <w:rPr>
                <w:sz w:val="15"/>
              </w:rPr>
              <w:t>Diagnostic source of truth</w:t>
            </w:r>
          </w:p>
        </w:tc>
      </w:tr>
      <w:tr>
        <w:tc>
          <w:tcPr>
            <w:tcW w:type="dxa" w:w="3408"/>
            <w:vAlign w:val="top"/>
          </w:tcPr>
          <w:p>
            <w:r>
              <w:rPr>
                <w:sz w:val="15"/>
              </w:rPr>
              <w:t>Facility capability score</w:t>
            </w:r>
          </w:p>
        </w:tc>
        <w:tc>
          <w:tcPr>
            <w:tcW w:type="dxa" w:w="3408"/>
            <w:vAlign w:val="top"/>
          </w:tcPr>
          <w:p>
            <w:r>
              <w:rPr>
                <w:sz w:val="15"/>
              </w:rPr>
              <w:t>Drug/LMIS</w:t>
            </w:r>
          </w:p>
        </w:tc>
        <w:tc>
          <w:tcPr>
            <w:tcW w:type="dxa" w:w="3408"/>
            <w:vAlign w:val="top"/>
          </w:tcPr>
          <w:p>
            <w:r>
              <w:rPr>
                <w:sz w:val="15"/>
              </w:rPr>
              <w:t>Drug inventory source of truth</w:t>
            </w:r>
          </w:p>
        </w:tc>
      </w:tr>
      <w:tr>
        <w:tc>
          <w:tcPr>
            <w:tcW w:type="dxa" w:w="3408"/>
            <w:vAlign w:val="top"/>
          </w:tcPr>
          <w:p>
            <w:r>
              <w:rPr>
                <w:sz w:val="15"/>
              </w:rPr>
              <w:t>Referral-closure evidence</w:t>
            </w:r>
          </w:p>
        </w:tc>
        <w:tc>
          <w:tcPr>
            <w:tcW w:type="dxa" w:w="3408"/>
            <w:vAlign w:val="top"/>
          </w:tcPr>
          <w:p>
            <w:r>
              <w:rPr>
                <w:sz w:val="15"/>
              </w:rPr>
              <w:t>108/102</w:t>
            </w:r>
          </w:p>
        </w:tc>
        <w:tc>
          <w:tcPr>
            <w:tcW w:type="dxa" w:w="3408"/>
            <w:vAlign w:val="top"/>
          </w:tcPr>
          <w:p>
            <w:r>
              <w:rPr>
                <w:sz w:val="15"/>
              </w:rPr>
              <w:t>Ambulance dispatch source of truth</w:t>
            </w:r>
          </w:p>
        </w:tc>
      </w:tr>
      <w:tr>
        <w:tc>
          <w:tcPr>
            <w:tcW w:type="dxa" w:w="3408"/>
            <w:vAlign w:val="top"/>
          </w:tcPr>
          <w:p>
            <w:r>
              <w:rPr>
                <w:sz w:val="15"/>
              </w:rPr>
              <w:t>Journey dashboard</w:t>
            </w:r>
          </w:p>
        </w:tc>
        <w:tc>
          <w:tcPr>
            <w:tcW w:type="dxa" w:w="3408"/>
            <w:vAlign w:val="top"/>
          </w:tcPr>
          <w:p>
            <w:r>
              <w:rPr>
                <w:sz w:val="15"/>
              </w:rPr>
              <w:t>PM-JAY</w:t>
            </w:r>
          </w:p>
        </w:tc>
        <w:tc>
          <w:tcPr>
            <w:tcW w:type="dxa" w:w="3408"/>
            <w:vAlign w:val="top"/>
          </w:tcPr>
          <w:p>
            <w:r>
              <w:rPr>
                <w:sz w:val="15"/>
              </w:rPr>
              <w:t>Claims/entitlement source of truth</w:t>
            </w:r>
          </w:p>
        </w:tc>
      </w:tr>
    </w:tbl>
    <w:p/>
    <w:p>
      <w:pPr>
        <w:pStyle w:val="Heading1"/>
      </w:pPr>
      <w:r>
        <w:t>14. Phase 2 conclusion</w:t>
      </w:r>
    </w:p>
    <w:p>
      <w:r>
        <w:t>Phase 2 confirms that our system can be designed around a standards-first, interoperability-aware architecture. The strongest public technical foundation is ABDM + NRCeS FHIR + HFR/HPR + HIE-CM, with UHI now providing the service-network layer. The system-specific programme integrations should be implemented as adapters and only promoted to “production connected” after the relevant owner confirms credentials, endpoint/version, payload contract and operational governance.</w:t>
      </w:r>
    </w:p>
    <w:p>
      <w:r>
        <w:t>The most important architectural insight is that FHIR solves semantic data exchange, UHI solves service-network transactions, and ABDM/HIE-CM solves identity/consent/exchange. None of those, by themselves, owns the complete operational care journey. That remaining stateful layer — Journey → Referral → Service → Completion → Follow-up — is the correct technical boundary for the proposed rural care-orchestration platform.</w:t>
      </w:r>
    </w:p>
    <w:p>
      <w:pPr>
        <w:pStyle w:val="Heading1"/>
      </w:pPr>
      <w:r>
        <w:t>Sources</w:t>
      </w:r>
    </w:p>
    <w:p>
      <w:r>
        <w:t>[1] NHA-ABDM. ABDM-wrapper, official NHA-ABDM GitHub repository. Reference implementation and milestone architecture: M1/M2/M3; gateway session, bridge, HIP/HIU, FHIR mapper. https://github.com/NHA-ABDM/ABDM-wrapper</w:t>
      </w:r>
    </w:p>
    <w:p>
      <w:r>
        <w:t>[2] National Health Authority. ABDM FAQ / Partners / certification guidance. APIs, sandbox, functional testing and certification requirements. https://abdm.gov.in/faqs ; https://abdm.gov.in/our-partners</w:t>
      </w:r>
    </w:p>
    <w:p>
      <w:r>
        <w:t>[3] NHA-ABDM / ABDM public implementation documentation. HFR/HPR API registration and search workflows. (Public documentation mirrors official sandbox/API guidance.)</w:t>
      </w:r>
    </w:p>
    <w:p>
      <w:r>
        <w:t>[4] National Health Authority. ABDM FAQ. Explanation of HFR/HPR, HIE-CM and application API integration. https://abdm.gov.in/faqs</w:t>
      </w:r>
    </w:p>
    <w:p>
      <w:r>
        <w:t>[5] Press Information Bureau, Ministry of Health and Family Welfare. “Union Health Minister launches Unified Health Interface – The Interoperable Network for Digital Health Services.” 29 June 2026. https://www.pib.gov.in/PressReleasePage.aspx?PRID=2278987</w:t>
      </w:r>
    </w:p>
    <w:p>
      <w:r>
        <w:t>[6] NHA-ABDM. UHI public repository. Current public repository version information and API/specification structure. https://github.com/NHA-ABDM/UHI</w:t>
      </w:r>
    </w:p>
    <w:p>
      <w:r>
        <w:t>[7] National Health Authority. UHI innovation challenge material documenting service discovery, teleconsultation, diagnostics and ambulance transaction flows. https://abdm.gov.in/hackathon</w:t>
      </w:r>
    </w:p>
    <w:p>
      <w:r>
        <w:t>[8] NHA-ABDM. UHI Postman collection, official public repository. https://github.com/NHA-ABDM/UHI/blob/main/api%20examples/UHI.postman_collection.json</w:t>
      </w:r>
    </w:p>
    <w:p>
      <w:r>
        <w:t>[9] NRCeS. FHIR Implementation Guide for ABDM v6.5.0. Based on FHIR R4 / 4.0.1. https://www.nrces.in/ndhm/fhir/r4/</w:t>
      </w:r>
    </w:p>
    <w:p>
      <w:r>
        <w:t>[10] NRCeS. ABDM FHIR Implementation Guide v7.0.0 development build, generated 15 July 2026. https://www.nrces.in/preview/ndhm/</w:t>
      </w:r>
    </w:p>
    <w:p>
      <w:r>
        <w:t>[11] NRCeS. ABDM FHIR Patient profile. https://www.nrces.in/ndhm/fhir/r4/StructureDefinition-Patient.html</w:t>
      </w:r>
    </w:p>
    <w:p>
      <w:r>
        <w:t>[12] NRCeS. ABDM FHIR Encounter profile. https://www.nrces.in/ndhm/fhir/r4/StructureDefinition-Encounter.html</w:t>
      </w:r>
    </w:p>
    <w:p>
      <w:r>
        <w:t>[13] NRCeS. ABDM FHIR Observation profile. https://www.nrces.in/ndhm/fhir/r4/StructureDefinition-Observation.html</w:t>
      </w:r>
    </w:p>
    <w:p>
      <w:r>
        <w:t>[14] NRCeS. ABDM FHIR MedicationRequest profile. https://www.nrces.in/ndhm/fhir/r4/StructureDefinition-MedicationRequest.html</w:t>
      </w:r>
    </w:p>
    <w:p>
      <w:r>
        <w:t>[15] NRCeS. ABDM FHIR ServiceRequest profile. https://www.nrces.in/ndhm/fhir/r4/StructureDefinition-ServiceRequest.html</w:t>
      </w:r>
    </w:p>
    <w:p>
      <w:r>
        <w:t>[16] NRCeS. ABDM FHIR Appointment and CarePlan profiles. https://www.nrces.in/ndhm/fhir/r4/StructureDefinition-Appointment.html ; https://www.nrces.in/ndhm/fhir/r4/StructureDefinition-CarePlan.html</w:t>
      </w:r>
    </w:p>
    <w:p>
      <w:r>
        <w:t>[17] NRCeS. ABDM FHIR DocumentReference / Condition profiles. https://www.nrces.in/ndhm/fhir/r4/StructureDefinition-DocumentReference.html ; https://www.nrces.in/ndhm/fhir/r4/StructureDefinition-Condition.html</w:t>
      </w:r>
    </w:p>
    <w:p>
      <w:r>
        <w:t>[18] NRCeS. ABDM FHIR Profiles, terminology and examples. https://www.nrces.in/ndhm/fhir/r4/profiles.html ; https://www.nrces.in/ndhm/fhir/r4/all-examples.html</w:t>
      </w:r>
    </w:p>
    <w:p>
      <w:r>
        <w:t>[19] NRCeS. Resources and National Releases: Common Lab Codes for India (CLCI), Common Drug Codes for India, Bharat Health Terminology Service. https://www.nrces.in/resources ; https://www.nrces.in/services/national-releases</w:t>
      </w:r>
    </w:p>
    <w:p>
      <w:r>
        <w:t>[20] NRCeS. News: Bharat Health Terminology Service and CLCI. 29 June 2026. https://www.nrces.in/news</w:t>
      </w:r>
    </w:p>
    <w:p>
      <w:r>
        <w:t>[21] NRCeS. FAQs: CLCI definition, 1,473 currently included common laboratory tests/measurements and terminology guidance. https://www.nrces.in/faqs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2 — Exact APIs, Interoperability &amp; Data Standards | India rural healthcare integration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