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4 — Added Advantages Research</w:t>
      </w:r>
    </w:p>
    <w:p>
      <w:pPr>
        <w:jc w:val="center"/>
      </w:pPr>
      <w:r>
        <w:rPr>
          <w:i/>
          <w:sz w:val="24"/>
        </w:rPr>
        <w:t>Rural Care Access &amp; Continuity Orchestration Platform</w:t>
      </w:r>
    </w:p>
    <w:p>
      <w:r>
        <w:t>Purpose: identify the additional value created when a patient-centred orchestration layer is placed on top of India's existing digital-health ecosystem. This phase deliberately goes beyond the original problem statement and tests which advantages are evidence-backed, which are logical system benefits, and which must remain pilot hypotheses.</w:t>
      </w:r>
    </w:p>
    <w:p>
      <w:pPr>
        <w:pStyle w:val="Heading1"/>
      </w:pPr>
      <w:r>
        <w:t>1. Executive conclusion</w:t>
      </w:r>
    </w:p>
    <w:p>
      <w:r>
        <w:t>India already has major building blocks for digital health: ABDM for identity/interoperability and consent, UHI for service-network transactions, eSanjeevani for teleconsultation, programme systems for maternal/child/NCD/TB workflows, hospital and laboratory systems, drug supply systems, financial-protection systems and emergency transport. The added value of the proposed platform is therefore not another service silo. It is the coordination of these services around a measurable patient journey.</w:t>
      </w:r>
    </w:p>
    <w:p>
      <w:r>
        <w:t>The strongest added advantage is closed-loop care: a referral is not counted as success when it is created; success requires an appropriate destination, acceptance, appointment/transport where needed, arrival, clinical completion, required diagnostics/medicine and follow-up. The platform can also reduce duplicate worker entry, expose care leakage, create cross-program tasking, provide capability-aware facility matching, and turn reporting data into operational early warning.</w:t>
      </w:r>
    </w:p>
    <w:p>
      <w:pPr>
        <w:pStyle w:val="Heading1"/>
      </w:pPr>
      <w:r>
        <w:t>2. The added-value model</w:t>
      </w:r>
    </w:p>
    <w:p>
      <w:r>
        <w:t>The platform creates value at three levels. Level 1 is operational: lower coordination burden and better visibility. Level 2 is patient-care: fewer avoidable trips, faster access, better referral completion and follow-up. Level 3 is system-level: resource planning, geographic equity analysis, predictive demand and accountability. Evidence strength differs across these levels; the project should never present a hypothesized benefit as a proven outcome.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DEDED"/>
            <w:vAlign w:val="center"/>
          </w:tcPr>
          <w:p>
            <w:r>
              <w:rPr>
                <w:sz w:val="16"/>
              </w:rPr>
              <w:t>Value layer</w:t>
            </w:r>
          </w:p>
        </w:tc>
        <w:tc>
          <w:tcPr>
            <w:tcW w:type="dxa" w:w="2556"/>
            <w:shd w:fill="EDEDED"/>
            <w:vAlign w:val="center"/>
          </w:tcPr>
          <w:p>
            <w:r>
              <w:rPr>
                <w:sz w:val="16"/>
              </w:rPr>
              <w:t>Examples</w:t>
            </w:r>
          </w:p>
        </w:tc>
        <w:tc>
          <w:tcPr>
            <w:tcW w:type="dxa" w:w="2556"/>
            <w:shd w:fill="EDEDED"/>
            <w:vAlign w:val="center"/>
          </w:tcPr>
          <w:p>
            <w:r>
              <w:rPr>
                <w:sz w:val="16"/>
              </w:rPr>
              <w:t>Evidence posture</w:t>
            </w:r>
          </w:p>
        </w:tc>
        <w:tc>
          <w:tcPr>
            <w:tcW w:type="dxa" w:w="2556"/>
            <w:shd w:fill="EDEDED"/>
            <w:vAlign w:val="center"/>
          </w:tcPr>
          <w:p>
            <w:r>
              <w:rPr>
                <w:sz w:val="16"/>
              </w:rPr>
              <w:t>Primary KPI</w:t>
            </w:r>
          </w:p>
        </w:tc>
      </w:tr>
      <w:tr>
        <w:tc>
          <w:tcPr>
            <w:tcW w:type="dxa" w:w="2556"/>
            <w:vAlign w:val="top"/>
          </w:tcPr>
          <w:p>
            <w:r>
              <w:rPr>
                <w:sz w:val="16"/>
              </w:rPr>
              <w:t>Operational</w:t>
            </w:r>
          </w:p>
        </w:tc>
        <w:tc>
          <w:tcPr>
            <w:tcW w:type="dxa" w:w="2556"/>
            <w:vAlign w:val="top"/>
          </w:tcPr>
          <w:p>
            <w:r>
              <w:rPr>
                <w:sz w:val="16"/>
              </w:rPr>
              <w:t>Less duplicate entry; clearer task ownership; referral visibility</w:t>
            </w:r>
          </w:p>
        </w:tc>
        <w:tc>
          <w:tcPr>
            <w:tcW w:type="dxa" w:w="2556"/>
            <w:vAlign w:val="top"/>
          </w:tcPr>
          <w:p>
            <w:r>
              <w:rPr>
                <w:sz w:val="16"/>
              </w:rPr>
              <w:t>Problem strongly evidenced; solution effect must be tested</w:t>
            </w:r>
          </w:p>
        </w:tc>
        <w:tc>
          <w:tcPr>
            <w:tcW w:type="dxa" w:w="2556"/>
            <w:vAlign w:val="top"/>
          </w:tcPr>
          <w:p>
            <w:r>
              <w:rPr>
                <w:sz w:val="16"/>
              </w:rPr>
              <w:t>Worker time / task completion</w:t>
            </w:r>
          </w:p>
        </w:tc>
      </w:tr>
      <w:tr>
        <w:tc>
          <w:tcPr>
            <w:tcW w:type="dxa" w:w="2556"/>
            <w:vAlign w:val="top"/>
          </w:tcPr>
          <w:p>
            <w:r>
              <w:rPr>
                <w:sz w:val="16"/>
              </w:rPr>
              <w:t>Patient-care</w:t>
            </w:r>
          </w:p>
        </w:tc>
        <w:tc>
          <w:tcPr>
            <w:tcW w:type="dxa" w:w="2556"/>
            <w:vAlign w:val="top"/>
          </w:tcPr>
          <w:p>
            <w:r>
              <w:rPr>
                <w:sz w:val="16"/>
              </w:rPr>
              <w:t>Less waiting; better referral completion; better follow-up</w:t>
            </w:r>
          </w:p>
        </w:tc>
        <w:tc>
          <w:tcPr>
            <w:tcW w:type="dxa" w:w="2556"/>
            <w:vAlign w:val="top"/>
          </w:tcPr>
          <w:p>
            <w:r>
              <w:rPr>
                <w:sz w:val="16"/>
              </w:rPr>
              <w:t>Promising/partially evidenced</w:t>
            </w:r>
          </w:p>
        </w:tc>
        <w:tc>
          <w:tcPr>
            <w:tcW w:type="dxa" w:w="2556"/>
            <w:vAlign w:val="top"/>
          </w:tcPr>
          <w:p>
            <w:r>
              <w:rPr>
                <w:sz w:val="16"/>
              </w:rPr>
              <w:t>Journey completion / time-to-care</w:t>
            </w:r>
          </w:p>
        </w:tc>
      </w:tr>
      <w:tr>
        <w:tc>
          <w:tcPr>
            <w:tcW w:type="dxa" w:w="2556"/>
            <w:vAlign w:val="top"/>
          </w:tcPr>
          <w:p>
            <w:r>
              <w:rPr>
                <w:sz w:val="16"/>
              </w:rPr>
              <w:t>System</w:t>
            </w:r>
          </w:p>
        </w:tc>
        <w:tc>
          <w:tcPr>
            <w:tcW w:type="dxa" w:w="2556"/>
            <w:vAlign w:val="top"/>
          </w:tcPr>
          <w:p>
            <w:r>
              <w:rPr>
                <w:sz w:val="16"/>
              </w:rPr>
              <w:t>Resource forecasting; equity monitoring; bottleneck detection</w:t>
            </w:r>
          </w:p>
        </w:tc>
        <w:tc>
          <w:tcPr>
            <w:tcW w:type="dxa" w:w="2556"/>
            <w:vAlign w:val="top"/>
          </w:tcPr>
          <w:p>
            <w:r>
              <w:rPr>
                <w:sz w:val="16"/>
              </w:rPr>
              <w:t>Technically plausible; impact must be validated</w:t>
            </w:r>
          </w:p>
        </w:tc>
        <w:tc>
          <w:tcPr>
            <w:tcW w:type="dxa" w:w="2556"/>
            <w:vAlign w:val="top"/>
          </w:tcPr>
          <w:p>
            <w:r>
              <w:rPr>
                <w:sz w:val="16"/>
              </w:rPr>
              <w:t>Capacity utilisation / equity gap</w:t>
            </w:r>
          </w:p>
        </w:tc>
      </w:tr>
    </w:tbl>
    <w:p/>
    <w:p>
      <w:pPr>
        <w:pStyle w:val="Heading1"/>
      </w:pPr>
      <w:r>
        <w:t>3. Advantage 1 — Care leakage detection</w:t>
      </w:r>
    </w:p>
    <w:p>
      <w:r>
        <w:t>A care episode can fail even when every individual transaction appears successful. Digital-referral literature and Indian provider research describe referral delays, difficulty securing specialist appointments, distance barriers and weak feedback mechanisms. One rural chronic-kidney-disease study reported the absence of a formal communication mechanism between community workers and specialists after referral. This supports treating care leakage as a first-class operational problem.</w:t>
      </w:r>
    </w:p>
    <w:p>
      <w:r>
        <w:t>Proposed journey states:</w:t>
      </w:r>
    </w:p>
    <w:p>
      <w:pPr>
        <w:pStyle w:val="ListBullet"/>
      </w:pPr>
      <w:r>
        <w:t>Referral created</w:t>
      </w:r>
    </w:p>
    <w:p>
      <w:pPr>
        <w:pStyle w:val="ListBullet"/>
      </w:pPr>
      <w:r>
        <w:t>Receiving facility identified</w:t>
      </w:r>
    </w:p>
    <w:p>
      <w:pPr>
        <w:pStyle w:val="ListBullet"/>
      </w:pPr>
      <w:r>
        <w:t>Referral accepted</w:t>
      </w:r>
    </w:p>
    <w:p>
      <w:pPr>
        <w:pStyle w:val="ListBullet"/>
      </w:pPr>
      <w:r>
        <w:t>Appointment/service secured</w:t>
      </w:r>
    </w:p>
    <w:p>
      <w:pPr>
        <w:pStyle w:val="ListBullet"/>
      </w:pPr>
      <w:r>
        <w:t>Transport confirmed when needed</w:t>
      </w:r>
    </w:p>
    <w:p>
      <w:pPr>
        <w:pStyle w:val="ListBullet"/>
      </w:pPr>
      <w:r>
        <w:t>Patient arrived</w:t>
      </w:r>
    </w:p>
    <w:p>
      <w:pPr>
        <w:pStyle w:val="ListBullet"/>
      </w:pPr>
      <w:r>
        <w:t>Consultation/treatment completed</w:t>
      </w:r>
    </w:p>
    <w:p>
      <w:pPr>
        <w:pStyle w:val="ListBullet"/>
      </w:pPr>
      <w:r>
        <w:t>Required diagnostic/medicine step completed</w:t>
      </w:r>
    </w:p>
    <w:p>
      <w:pPr>
        <w:pStyle w:val="ListBullet"/>
      </w:pPr>
      <w:r>
        <w:t>Follow-up assigned</w:t>
      </w:r>
    </w:p>
    <w:p>
      <w:pPr>
        <w:pStyle w:val="ListBullet"/>
      </w:pPr>
      <w:r>
        <w:t>Follow-up completed and episode closed</w:t>
      </w:r>
    </w:p>
    <w:p>
      <w:r>
        <w:t>Core metric:</w:t>
      </w:r>
    </w:p>
    <w:p>
      <w:r>
        <w:rPr>
          <w:b/>
        </w:rPr>
        <w:t>Care Completion Rate = completed care journeys / initiated care journeys</w:t>
      </w:r>
    </w:p>
    <w:p>
      <w:r>
        <w:t>The platform should retain the reason for leakage where known, such as no appointment, transport failure, service unavailability, patient inability to travel, connectivity loss or missing follow-up.</w:t>
      </w:r>
    </w:p>
    <w:p>
      <w:pPr>
        <w:pStyle w:val="Heading1"/>
      </w:pPr>
      <w:r>
        <w:t>4. Advantage 2 — Cross-program patient context</w:t>
      </w:r>
    </w:p>
    <w:p>
      <w:r>
        <w:t>ABDM provides an interoperability foundation for consented exchange rather than one monolithic national clinical database. The orchestration layer can use authorized references from RCH, NP-NCD, U-WIN, Nikshay, hospital records and other systems to construct a task-oriented care context. The architecture must preserve source provenance and avoid copying data merely for convenience.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Scenario</w:t>
            </w:r>
          </w:p>
        </w:tc>
        <w:tc>
          <w:tcPr>
            <w:tcW w:type="dxa" w:w="3408"/>
            <w:shd w:fill="EDEDED"/>
            <w:vAlign w:val="center"/>
          </w:tcPr>
          <w:p>
            <w:r>
              <w:rPr>
                <w:sz w:val="16"/>
              </w:rPr>
              <w:t>Existing system signal</w:t>
            </w:r>
          </w:p>
        </w:tc>
        <w:tc>
          <w:tcPr>
            <w:tcW w:type="dxa" w:w="3408"/>
            <w:shd w:fill="EDEDED"/>
            <w:vAlign w:val="center"/>
          </w:tcPr>
          <w:p>
            <w:r>
              <w:rPr>
                <w:sz w:val="16"/>
              </w:rPr>
              <w:t>Orchestration action</w:t>
            </w:r>
          </w:p>
        </w:tc>
      </w:tr>
      <w:tr>
        <w:tc>
          <w:tcPr>
            <w:tcW w:type="dxa" w:w="3408"/>
            <w:vAlign w:val="top"/>
          </w:tcPr>
          <w:p>
            <w:r>
              <w:rPr>
                <w:sz w:val="16"/>
              </w:rPr>
              <w:t>NCD patient overdue</w:t>
            </w:r>
          </w:p>
        </w:tc>
        <w:tc>
          <w:tcPr>
            <w:tcW w:type="dxa" w:w="3408"/>
            <w:vAlign w:val="top"/>
          </w:tcPr>
          <w:p>
            <w:r>
              <w:rPr>
                <w:sz w:val="16"/>
              </w:rPr>
              <w:t>NP-NCD follow-up status</w:t>
            </w:r>
          </w:p>
        </w:tc>
        <w:tc>
          <w:tcPr>
            <w:tcW w:type="dxa" w:w="3408"/>
            <w:vAlign w:val="top"/>
          </w:tcPr>
          <w:p>
            <w:r>
              <w:rPr>
                <w:sz w:val="16"/>
              </w:rPr>
              <w:t>Create/prioritize community or facility follow-up task</w:t>
            </w:r>
          </w:p>
        </w:tc>
      </w:tr>
      <w:tr>
        <w:tc>
          <w:tcPr>
            <w:tcW w:type="dxa" w:w="3408"/>
            <w:vAlign w:val="top"/>
          </w:tcPr>
          <w:p>
            <w:r>
              <w:rPr>
                <w:sz w:val="16"/>
              </w:rPr>
              <w:t>High-risk pregnancy</w:t>
            </w:r>
          </w:p>
        </w:tc>
        <w:tc>
          <w:tcPr>
            <w:tcW w:type="dxa" w:w="3408"/>
            <w:vAlign w:val="top"/>
          </w:tcPr>
          <w:p>
            <w:r>
              <w:rPr>
                <w:sz w:val="16"/>
              </w:rPr>
              <w:t>RCH/PICME risk signal</w:t>
            </w:r>
          </w:p>
        </w:tc>
        <w:tc>
          <w:tcPr>
            <w:tcW w:type="dxa" w:w="3408"/>
            <w:vAlign w:val="top"/>
          </w:tcPr>
          <w:p>
            <w:r>
              <w:rPr>
                <w:sz w:val="16"/>
              </w:rPr>
              <w:t>Trigger specialist/diagnostic/referral workflow</w:t>
            </w:r>
          </w:p>
        </w:tc>
      </w:tr>
      <w:tr>
        <w:tc>
          <w:tcPr>
            <w:tcW w:type="dxa" w:w="3408"/>
            <w:vAlign w:val="top"/>
          </w:tcPr>
          <w:p>
            <w:r>
              <w:rPr>
                <w:sz w:val="16"/>
              </w:rPr>
              <w:t>Child vaccination due</w:t>
            </w:r>
          </w:p>
        </w:tc>
        <w:tc>
          <w:tcPr>
            <w:tcW w:type="dxa" w:w="3408"/>
            <w:vAlign w:val="top"/>
          </w:tcPr>
          <w:p>
            <w:r>
              <w:rPr>
                <w:sz w:val="16"/>
              </w:rPr>
              <w:t>U-WIN due information</w:t>
            </w:r>
          </w:p>
        </w:tc>
        <w:tc>
          <w:tcPr>
            <w:tcW w:type="dxa" w:w="3408"/>
            <w:vAlign w:val="top"/>
          </w:tcPr>
          <w:p>
            <w:r>
              <w:rPr>
                <w:sz w:val="16"/>
              </w:rPr>
              <w:t>Add preventive-care task to child/family journey</w:t>
            </w:r>
          </w:p>
        </w:tc>
      </w:tr>
      <w:tr>
        <w:tc>
          <w:tcPr>
            <w:tcW w:type="dxa" w:w="3408"/>
            <w:vAlign w:val="top"/>
          </w:tcPr>
          <w:p>
            <w:r>
              <w:rPr>
                <w:sz w:val="16"/>
              </w:rPr>
              <w:t>TB transfer</w:t>
            </w:r>
          </w:p>
        </w:tc>
        <w:tc>
          <w:tcPr>
            <w:tcW w:type="dxa" w:w="3408"/>
            <w:vAlign w:val="top"/>
          </w:tcPr>
          <w:p>
            <w:r>
              <w:rPr>
                <w:sz w:val="16"/>
              </w:rPr>
              <w:t>Nikshay case/transfer status</w:t>
            </w:r>
          </w:p>
        </w:tc>
        <w:tc>
          <w:tcPr>
            <w:tcW w:type="dxa" w:w="3408"/>
            <w:vAlign w:val="top"/>
          </w:tcPr>
          <w:p>
            <w:r>
              <w:rPr>
                <w:sz w:val="16"/>
              </w:rPr>
              <w:t>Track continuity across receiving provider</w:t>
            </w:r>
          </w:p>
        </w:tc>
      </w:tr>
      <w:tr>
        <w:tc>
          <w:tcPr>
            <w:tcW w:type="dxa" w:w="3408"/>
            <w:vAlign w:val="top"/>
          </w:tcPr>
          <w:p>
            <w:r>
              <w:rPr>
                <w:sz w:val="16"/>
              </w:rPr>
              <w:t>Recent discharge</w:t>
            </w:r>
          </w:p>
        </w:tc>
        <w:tc>
          <w:tcPr>
            <w:tcW w:type="dxa" w:w="3408"/>
            <w:vAlign w:val="top"/>
          </w:tcPr>
          <w:p>
            <w:r>
              <w:rPr>
                <w:sz w:val="16"/>
              </w:rPr>
              <w:t>Hospital/ABDM record</w:t>
            </w:r>
          </w:p>
        </w:tc>
        <w:tc>
          <w:tcPr>
            <w:tcW w:type="dxa" w:w="3408"/>
            <w:vAlign w:val="top"/>
          </w:tcPr>
          <w:p>
            <w:r>
              <w:rPr>
                <w:sz w:val="16"/>
              </w:rPr>
              <w:t>Create post-discharge follow-up where clinically required</w:t>
            </w:r>
          </w:p>
        </w:tc>
      </w:tr>
    </w:tbl>
    <w:p/>
    <w:p>
      <w:pPr>
        <w:pStyle w:val="Heading1"/>
      </w:pPr>
      <w:r>
        <w:t>5. Advantage 3 — Next-best-action engine</w:t>
      </w:r>
    </w:p>
    <w:p>
      <w:r>
        <w:t>Existing programme applications are designed around defined programme functions. The orchestration layer can add an operational next-best-action engine that uses the available clinical and operational context to identify the next required step. This should initially be rules-based and clinician-reviewed, with machine-learning augmentation introduced only after a safe data and governance foundation is demonstrated.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Signal</w:t>
            </w:r>
          </w:p>
        </w:tc>
        <w:tc>
          <w:tcPr>
            <w:tcW w:type="dxa" w:w="3408"/>
            <w:shd w:fill="EDEDED"/>
            <w:vAlign w:val="center"/>
          </w:tcPr>
          <w:p>
            <w:r>
              <w:rPr>
                <w:sz w:val="16"/>
              </w:rPr>
              <w:t>Possible action</w:t>
            </w:r>
          </w:p>
        </w:tc>
        <w:tc>
          <w:tcPr>
            <w:tcW w:type="dxa" w:w="3408"/>
            <w:shd w:fill="EDEDED"/>
            <w:vAlign w:val="center"/>
          </w:tcPr>
          <w:p>
            <w:r>
              <w:rPr>
                <w:sz w:val="16"/>
              </w:rPr>
              <w:t>Human control</w:t>
            </w:r>
          </w:p>
        </w:tc>
      </w:tr>
      <w:tr>
        <w:tc>
          <w:tcPr>
            <w:tcW w:type="dxa" w:w="3408"/>
            <w:vAlign w:val="top"/>
          </w:tcPr>
          <w:p>
            <w:r>
              <w:rPr>
                <w:sz w:val="16"/>
              </w:rPr>
              <w:t>High-risk screening</w:t>
            </w:r>
          </w:p>
        </w:tc>
        <w:tc>
          <w:tcPr>
            <w:tcW w:type="dxa" w:w="3408"/>
            <w:vAlign w:val="top"/>
          </w:tcPr>
          <w:p>
            <w:r>
              <w:rPr>
                <w:sz w:val="16"/>
              </w:rPr>
              <w:t>Escalate to clinical review</w:t>
            </w:r>
          </w:p>
        </w:tc>
        <w:tc>
          <w:tcPr>
            <w:tcW w:type="dxa" w:w="3408"/>
            <w:vAlign w:val="top"/>
          </w:tcPr>
          <w:p>
            <w:r>
              <w:rPr>
                <w:sz w:val="16"/>
              </w:rPr>
              <w:t>Clinician confirms urgency</w:t>
            </w:r>
          </w:p>
        </w:tc>
      </w:tr>
      <w:tr>
        <w:tc>
          <w:tcPr>
            <w:tcW w:type="dxa" w:w="3408"/>
            <w:vAlign w:val="top"/>
          </w:tcPr>
          <w:p>
            <w:r>
              <w:rPr>
                <w:sz w:val="16"/>
              </w:rPr>
              <w:t>Diagnostic pending beyond SLA</w:t>
            </w:r>
          </w:p>
        </w:tc>
        <w:tc>
          <w:tcPr>
            <w:tcW w:type="dxa" w:w="3408"/>
            <w:vAlign w:val="top"/>
          </w:tcPr>
          <w:p>
            <w:r>
              <w:rPr>
                <w:sz w:val="16"/>
              </w:rPr>
              <w:t>Escalate to lab/coordinator</w:t>
            </w:r>
          </w:p>
        </w:tc>
        <w:tc>
          <w:tcPr>
            <w:tcW w:type="dxa" w:w="3408"/>
            <w:vAlign w:val="top"/>
          </w:tcPr>
          <w:p>
            <w:r>
              <w:rPr>
                <w:sz w:val="16"/>
              </w:rPr>
              <w:t>Coordinator resolves</w:t>
            </w:r>
          </w:p>
        </w:tc>
      </w:tr>
      <w:tr>
        <w:tc>
          <w:tcPr>
            <w:tcW w:type="dxa" w:w="3408"/>
            <w:vAlign w:val="top"/>
          </w:tcPr>
          <w:p>
            <w:r>
              <w:rPr>
                <w:sz w:val="16"/>
              </w:rPr>
              <w:t>Referral accepted but no appointment</w:t>
            </w:r>
          </w:p>
        </w:tc>
        <w:tc>
          <w:tcPr>
            <w:tcW w:type="dxa" w:w="3408"/>
            <w:vAlign w:val="top"/>
          </w:tcPr>
          <w:p>
            <w:r>
              <w:rPr>
                <w:sz w:val="16"/>
              </w:rPr>
              <w:t>Search alternatives / contact facility</w:t>
            </w:r>
          </w:p>
        </w:tc>
        <w:tc>
          <w:tcPr>
            <w:tcW w:type="dxa" w:w="3408"/>
            <w:vAlign w:val="top"/>
          </w:tcPr>
          <w:p>
            <w:r>
              <w:rPr>
                <w:sz w:val="16"/>
              </w:rPr>
              <w:t>Human chooses route</w:t>
            </w:r>
          </w:p>
        </w:tc>
      </w:tr>
      <w:tr>
        <w:tc>
          <w:tcPr>
            <w:tcW w:type="dxa" w:w="3408"/>
            <w:vAlign w:val="top"/>
          </w:tcPr>
          <w:p>
            <w:r>
              <w:rPr>
                <w:sz w:val="16"/>
              </w:rPr>
              <w:t>Patient missed follow-up</w:t>
            </w:r>
          </w:p>
        </w:tc>
        <w:tc>
          <w:tcPr>
            <w:tcW w:type="dxa" w:w="3408"/>
            <w:vAlign w:val="top"/>
          </w:tcPr>
          <w:p>
            <w:r>
              <w:rPr>
                <w:sz w:val="16"/>
              </w:rPr>
              <w:t>Create outreach task</w:t>
            </w:r>
          </w:p>
        </w:tc>
        <w:tc>
          <w:tcPr>
            <w:tcW w:type="dxa" w:w="3408"/>
            <w:vAlign w:val="top"/>
          </w:tcPr>
          <w:p>
            <w:r>
              <w:rPr>
                <w:sz w:val="16"/>
              </w:rPr>
              <w:t>Worker decides outreach</w:t>
            </w:r>
          </w:p>
        </w:tc>
      </w:tr>
      <w:tr>
        <w:tc>
          <w:tcPr>
            <w:tcW w:type="dxa" w:w="3408"/>
            <w:vAlign w:val="top"/>
          </w:tcPr>
          <w:p>
            <w:r>
              <w:rPr>
                <w:sz w:val="16"/>
              </w:rPr>
              <w:t>Facility service unavailable</w:t>
            </w:r>
          </w:p>
        </w:tc>
        <w:tc>
          <w:tcPr>
            <w:tcW w:type="dxa" w:w="3408"/>
            <w:vAlign w:val="top"/>
          </w:tcPr>
          <w:p>
            <w:r>
              <w:rPr>
                <w:sz w:val="16"/>
              </w:rPr>
              <w:t>Recommend alternative facility</w:t>
            </w:r>
          </w:p>
        </w:tc>
        <w:tc>
          <w:tcPr>
            <w:tcW w:type="dxa" w:w="3408"/>
            <w:vAlign w:val="top"/>
          </w:tcPr>
          <w:p>
            <w:r>
              <w:rPr>
                <w:sz w:val="16"/>
              </w:rPr>
              <w:t>Clinician/coordinator confirms</w:t>
            </w:r>
          </w:p>
        </w:tc>
      </w:tr>
    </w:tbl>
    <w:p/>
    <w:p>
      <w:pPr>
        <w:pStyle w:val="Heading1"/>
      </w:pPr>
      <w:r>
        <w:t>6. Advantage 4 — Capability-aware facility matching</w:t>
      </w:r>
    </w:p>
    <w:p>
      <w:r>
        <w:t>HFR can support facility identity and discovery, while UHI can support service discovery and transactions where participating providers expose them. The proposed platform adds a decision layer that considers clinical suitability, operational availability, distance, transport access, entitlement and diagnostic/medicine dependencies. It must not silently override clinician judgment.</w:t>
      </w:r>
    </w:p>
    <w:p>
      <w:r>
        <w:rPr>
          <w:b/>
        </w:rPr>
        <w:t xml:space="preserve">Conceptual ranking: </w:t>
      </w:r>
      <w:r>
        <w:t>clinical suitability → current service availability → urgency → transport feasibility → distance → entitlement/coverage → wait time.</w:t>
      </w:r>
    </w:p>
    <w:p>
      <w:r>
        <w:t>Any operational capability data should carry a freshness timestamp. A facility registry entry should not be interpreted as proof that a particular service is available at this moment.</w:t>
      </w:r>
    </w:p>
    <w:p>
      <w:pPr>
        <w:pStyle w:val="Heading1"/>
      </w:pPr>
      <w:r>
        <w:t>7. Advantage 5 — Cross-service coordination</w:t>
      </w:r>
    </w:p>
    <w:p>
      <w:r>
        <w:t>Separate government systems already exist for diagnostics, medicine supply, blood availability, transport, teleconsultation and treatment. The orchestration layer can coordinate these constraints around one episode. This is particularly useful when one missing dependency makes an otherwise appropriate referral impractical.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Patient need</w:t>
            </w:r>
          </w:p>
        </w:tc>
        <w:tc>
          <w:tcPr>
            <w:tcW w:type="dxa" w:w="3408"/>
            <w:shd w:fill="EDEDED"/>
            <w:vAlign w:val="center"/>
          </w:tcPr>
          <w:p>
            <w:r>
              <w:rPr>
                <w:sz w:val="16"/>
              </w:rPr>
              <w:t>Existing service</w:t>
            </w:r>
          </w:p>
        </w:tc>
        <w:tc>
          <w:tcPr>
            <w:tcW w:type="dxa" w:w="3408"/>
            <w:shd w:fill="EDEDED"/>
            <w:vAlign w:val="center"/>
          </w:tcPr>
          <w:p>
            <w:r>
              <w:rPr>
                <w:sz w:val="16"/>
              </w:rPr>
              <w:t>Orchestration contribution</w:t>
            </w:r>
          </w:p>
        </w:tc>
      </w:tr>
      <w:tr>
        <w:tc>
          <w:tcPr>
            <w:tcW w:type="dxa" w:w="3408"/>
            <w:vAlign w:val="top"/>
          </w:tcPr>
          <w:p>
            <w:r>
              <w:rPr>
                <w:sz w:val="16"/>
              </w:rPr>
              <w:t>Specialist + ultrasound</w:t>
            </w:r>
          </w:p>
        </w:tc>
        <w:tc>
          <w:tcPr>
            <w:tcW w:type="dxa" w:w="3408"/>
            <w:vAlign w:val="top"/>
          </w:tcPr>
          <w:p>
            <w:r>
              <w:rPr>
                <w:sz w:val="16"/>
              </w:rPr>
              <w:t>eSanjeevani + diagnostic service</w:t>
            </w:r>
          </w:p>
        </w:tc>
        <w:tc>
          <w:tcPr>
            <w:tcW w:type="dxa" w:w="3408"/>
            <w:vAlign w:val="top"/>
          </w:tcPr>
          <w:p>
            <w:r>
              <w:rPr>
                <w:sz w:val="16"/>
              </w:rPr>
              <w:t>Find a pathway where both are realistically obtainable</w:t>
            </w:r>
          </w:p>
        </w:tc>
      </w:tr>
      <w:tr>
        <w:tc>
          <w:tcPr>
            <w:tcW w:type="dxa" w:w="3408"/>
            <w:vAlign w:val="top"/>
          </w:tcPr>
          <w:p>
            <w:r>
              <w:rPr>
                <w:sz w:val="16"/>
              </w:rPr>
              <w:t>Emergency + blood</w:t>
            </w:r>
          </w:p>
        </w:tc>
        <w:tc>
          <w:tcPr>
            <w:tcW w:type="dxa" w:w="3408"/>
            <w:vAlign w:val="top"/>
          </w:tcPr>
          <w:p>
            <w:r>
              <w:rPr>
                <w:sz w:val="16"/>
              </w:rPr>
              <w:t>108/102 + e-RaktKosh</w:t>
            </w:r>
          </w:p>
        </w:tc>
        <w:tc>
          <w:tcPr>
            <w:tcW w:type="dxa" w:w="3408"/>
            <w:vAlign w:val="top"/>
          </w:tcPr>
          <w:p>
            <w:r>
              <w:rPr>
                <w:sz w:val="16"/>
              </w:rPr>
              <w:t>Link transport and blood availability to the emergency episode</w:t>
            </w:r>
          </w:p>
        </w:tc>
      </w:tr>
      <w:tr>
        <w:tc>
          <w:tcPr>
            <w:tcW w:type="dxa" w:w="3408"/>
            <w:vAlign w:val="top"/>
          </w:tcPr>
          <w:p>
            <w:r>
              <w:rPr>
                <w:sz w:val="16"/>
              </w:rPr>
              <w:t>Prescription + medicine</w:t>
            </w:r>
          </w:p>
        </w:tc>
        <w:tc>
          <w:tcPr>
            <w:tcW w:type="dxa" w:w="3408"/>
            <w:vAlign w:val="top"/>
          </w:tcPr>
          <w:p>
            <w:r>
              <w:rPr>
                <w:sz w:val="16"/>
              </w:rPr>
              <w:t>Hospital/pharmacy + LMIS/DVDMS</w:t>
            </w:r>
          </w:p>
        </w:tc>
        <w:tc>
          <w:tcPr>
            <w:tcW w:type="dxa" w:w="3408"/>
            <w:vAlign w:val="top"/>
          </w:tcPr>
          <w:p>
            <w:r>
              <w:rPr>
                <w:sz w:val="16"/>
              </w:rPr>
              <w:t>Route to a verifiably available dispensing point</w:t>
            </w:r>
          </w:p>
        </w:tc>
      </w:tr>
      <w:tr>
        <w:tc>
          <w:tcPr>
            <w:tcW w:type="dxa" w:w="3408"/>
            <w:vAlign w:val="top"/>
          </w:tcPr>
          <w:p>
            <w:r>
              <w:rPr>
                <w:sz w:val="16"/>
              </w:rPr>
              <w:t>Referral + transport</w:t>
            </w:r>
          </w:p>
        </w:tc>
        <w:tc>
          <w:tcPr>
            <w:tcW w:type="dxa" w:w="3408"/>
            <w:vAlign w:val="top"/>
          </w:tcPr>
          <w:p>
            <w:r>
              <w:rPr>
                <w:sz w:val="16"/>
              </w:rPr>
              <w:t>Referral workflow + EMS</w:t>
            </w:r>
          </w:p>
        </w:tc>
        <w:tc>
          <w:tcPr>
            <w:tcW w:type="dxa" w:w="3408"/>
            <w:vAlign w:val="top"/>
          </w:tcPr>
          <w:p>
            <w:r>
              <w:rPr>
                <w:sz w:val="16"/>
              </w:rPr>
              <w:t>Keep clinical referral and transport in one state machine</w:t>
            </w:r>
          </w:p>
        </w:tc>
      </w:tr>
    </w:tbl>
    <w:p/>
    <w:p>
      <w:pPr>
        <w:pStyle w:val="Heading1"/>
      </w:pPr>
      <w:r>
        <w:t>8. Advantage 6 — Lower frontline-worker digital burden</w:t>
      </w:r>
    </w:p>
    <w:p>
      <w:r>
        <w:t>Indian Common Review Mission evidence documents multiple portals, physical registers, connectivity constraints and duplicate data entry in some settings. The design implication is strong: a new application is beneficial only if it removes work rather than adds another reporting obligation.</w:t>
      </w:r>
    </w:p>
    <w:p>
      <w:r>
        <w:t>Target experience:</w:t>
      </w:r>
    </w:p>
    <w:p>
      <w:pPr>
        <w:pStyle w:val="ListBullet"/>
      </w:pPr>
      <w:r>
        <w:t>Worker sees one prioritized task list.</w:t>
      </w:r>
    </w:p>
    <w:p>
      <w:pPr>
        <w:pStyle w:val="ListBullet"/>
      </w:pPr>
      <w:r>
        <w:t>Existing programme records are reused rather than retyped.</w:t>
      </w:r>
    </w:p>
    <w:p>
      <w:pPr>
        <w:pStyle w:val="ListBullet"/>
      </w:pPr>
      <w:r>
        <w:t>The worker is shown only the fields required for the current task.</w:t>
      </w:r>
    </w:p>
    <w:p>
      <w:pPr>
        <w:pStyle w:val="ListBullet"/>
      </w:pPr>
      <w:r>
        <w:t>External system failures are visible without requiring the worker to troubleshoot APIs.</w:t>
      </w:r>
    </w:p>
    <w:p>
      <w:pPr>
        <w:pStyle w:val="ListBullet"/>
      </w:pPr>
      <w:r>
        <w:t>Offline capture and later sync are built into the same assisted workflow.</w:t>
      </w:r>
    </w:p>
    <w:p>
      <w:r>
        <w:t>This benefit should be measured with time-and-motion or task-time studies before and after deployment; a percentage reduction should not be assumed in advance.</w:t>
      </w:r>
    </w:p>
    <w:p>
      <w:pPr>
        <w:pStyle w:val="Heading1"/>
      </w:pPr>
      <w:r>
        <w:t>9. Advantage 7 — Data quality and provenance</w:t>
      </w:r>
    </w:p>
    <w:p>
      <w:r>
        <w:t>Interoperability without provenance can create a false sense of data consistency. The proposed platform should preserve source system, source identifier, event timestamp, ingestion timestamp and transformation history. Conflicting demographics or clinical values should be surfaced as discrepancies, not silently overwritten.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DED"/>
            <w:vAlign w:val="center"/>
          </w:tcPr>
          <w:p>
            <w:r>
              <w:rPr>
                <w:sz w:val="16"/>
              </w:rPr>
              <w:t>Data-quality issue</w:t>
            </w:r>
          </w:p>
        </w:tc>
        <w:tc>
          <w:tcPr>
            <w:tcW w:type="dxa" w:w="5112"/>
            <w:shd w:fill="EDEDED"/>
            <w:vAlign w:val="center"/>
          </w:tcPr>
          <w:p>
            <w:r>
              <w:rPr>
                <w:sz w:val="16"/>
              </w:rPr>
              <w:t>Platform response</w:t>
            </w:r>
          </w:p>
        </w:tc>
      </w:tr>
      <w:tr>
        <w:tc>
          <w:tcPr>
            <w:tcW w:type="dxa" w:w="5112"/>
            <w:vAlign w:val="top"/>
          </w:tcPr>
          <w:p>
            <w:r>
              <w:rPr>
                <w:sz w:val="16"/>
              </w:rPr>
              <w:t>Duplicate submission</w:t>
            </w:r>
          </w:p>
        </w:tc>
        <w:tc>
          <w:tcPr>
            <w:tcW w:type="dxa" w:w="5112"/>
            <w:vAlign w:val="top"/>
          </w:tcPr>
          <w:p>
            <w:r>
              <w:rPr>
                <w:sz w:val="16"/>
              </w:rPr>
              <w:t>Idempotency key / event ID</w:t>
            </w:r>
          </w:p>
        </w:tc>
      </w:tr>
      <w:tr>
        <w:tc>
          <w:tcPr>
            <w:tcW w:type="dxa" w:w="5112"/>
            <w:vAlign w:val="top"/>
          </w:tcPr>
          <w:p>
            <w:r>
              <w:rPr>
                <w:sz w:val="16"/>
              </w:rPr>
              <w:t>Conflicting demographic values</w:t>
            </w:r>
          </w:p>
        </w:tc>
        <w:tc>
          <w:tcPr>
            <w:tcW w:type="dxa" w:w="5112"/>
            <w:vAlign w:val="top"/>
          </w:tcPr>
          <w:p>
            <w:r>
              <w:rPr>
                <w:sz w:val="16"/>
              </w:rPr>
              <w:t>Flag discrepancy; retain both sources</w:t>
            </w:r>
          </w:p>
        </w:tc>
      </w:tr>
      <w:tr>
        <w:tc>
          <w:tcPr>
            <w:tcW w:type="dxa" w:w="5112"/>
            <w:vAlign w:val="top"/>
          </w:tcPr>
          <w:p>
            <w:r>
              <w:rPr>
                <w:sz w:val="16"/>
              </w:rPr>
              <w:t>Stale capability information</w:t>
            </w:r>
          </w:p>
        </w:tc>
        <w:tc>
          <w:tcPr>
            <w:tcW w:type="dxa" w:w="5112"/>
            <w:vAlign w:val="top"/>
          </w:tcPr>
          <w:p>
            <w:r>
              <w:rPr>
                <w:sz w:val="16"/>
              </w:rPr>
              <w:t>Show freshness timestamp; reduce confidence</w:t>
            </w:r>
          </w:p>
        </w:tc>
      </w:tr>
      <w:tr>
        <w:tc>
          <w:tcPr>
            <w:tcW w:type="dxa" w:w="5112"/>
            <w:vAlign w:val="top"/>
          </w:tcPr>
          <w:p>
            <w:r>
              <w:rPr>
                <w:sz w:val="16"/>
              </w:rPr>
              <w:t>Out-of-order events</w:t>
            </w:r>
          </w:p>
        </w:tc>
        <w:tc>
          <w:tcPr>
            <w:tcW w:type="dxa" w:w="5112"/>
            <w:vAlign w:val="top"/>
          </w:tcPr>
          <w:p>
            <w:r>
              <w:rPr>
                <w:sz w:val="16"/>
              </w:rPr>
              <w:t>Store occurred_at and received_at; enforce legal state transitions</w:t>
            </w:r>
          </w:p>
        </w:tc>
      </w:tr>
      <w:tr>
        <w:tc>
          <w:tcPr>
            <w:tcW w:type="dxa" w:w="5112"/>
            <w:vAlign w:val="top"/>
          </w:tcPr>
          <w:p>
            <w:r>
              <w:rPr>
                <w:sz w:val="16"/>
              </w:rPr>
              <w:t>External sync failure</w:t>
            </w:r>
          </w:p>
        </w:tc>
        <w:tc>
          <w:tcPr>
            <w:tcW w:type="dxa" w:w="5112"/>
            <w:vAlign w:val="top"/>
          </w:tcPr>
          <w:p>
            <w:r>
              <w:rPr>
                <w:sz w:val="16"/>
              </w:rPr>
              <w:t>Retry + visible pending state</w:t>
            </w:r>
          </w:p>
        </w:tc>
      </w:tr>
    </w:tbl>
    <w:p/>
    <w:p>
      <w:pPr>
        <w:pStyle w:val="Heading1"/>
      </w:pPr>
      <w:r>
        <w:t>10. Advantage 8 — Operational early warning</w:t>
      </w:r>
    </w:p>
    <w:p>
      <w:r>
        <w:t>Traditional management dashboards answer what happened. A journey-aware dashboard can add what is failing now, where and why. For example, a district could see rising referral leakage caused by ultrasound capacity, transport failure or appointment scarcity.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Dashboard question</w:t>
            </w:r>
          </w:p>
        </w:tc>
        <w:tc>
          <w:tcPr>
            <w:tcW w:type="dxa" w:w="3408"/>
            <w:shd w:fill="EDEDED"/>
            <w:vAlign w:val="center"/>
          </w:tcPr>
          <w:p>
            <w:r>
              <w:rPr>
                <w:sz w:val="16"/>
              </w:rPr>
              <w:t>Traditional view</w:t>
            </w:r>
          </w:p>
        </w:tc>
        <w:tc>
          <w:tcPr>
            <w:tcW w:type="dxa" w:w="3408"/>
            <w:shd w:fill="EDEDED"/>
            <w:vAlign w:val="center"/>
          </w:tcPr>
          <w:p>
            <w:r>
              <w:rPr>
                <w:sz w:val="16"/>
              </w:rPr>
              <w:t>Proposed view</w:t>
            </w:r>
          </w:p>
        </w:tc>
      </w:tr>
      <w:tr>
        <w:tc>
          <w:tcPr>
            <w:tcW w:type="dxa" w:w="3408"/>
            <w:vAlign w:val="top"/>
          </w:tcPr>
          <w:p>
            <w:r>
              <w:rPr>
                <w:sz w:val="16"/>
              </w:rPr>
              <w:t>How many referrals?</w:t>
            </w:r>
          </w:p>
        </w:tc>
        <w:tc>
          <w:tcPr>
            <w:tcW w:type="dxa" w:w="3408"/>
            <w:vAlign w:val="top"/>
          </w:tcPr>
          <w:p>
            <w:r>
              <w:rPr>
                <w:sz w:val="16"/>
              </w:rPr>
              <w:t>Count created</w:t>
            </w:r>
          </w:p>
        </w:tc>
        <w:tc>
          <w:tcPr>
            <w:tcW w:type="dxa" w:w="3408"/>
            <w:vAlign w:val="top"/>
          </w:tcPr>
          <w:p>
            <w:r>
              <w:rPr>
                <w:sz w:val="16"/>
              </w:rPr>
              <w:t>Created + accepted + completed + overdue</w:t>
            </w:r>
          </w:p>
        </w:tc>
      </w:tr>
      <w:tr>
        <w:tc>
          <w:tcPr>
            <w:tcW w:type="dxa" w:w="3408"/>
            <w:vAlign w:val="top"/>
          </w:tcPr>
          <w:p>
            <w:r>
              <w:rPr>
                <w:sz w:val="16"/>
              </w:rPr>
              <w:t>How many tests?</w:t>
            </w:r>
          </w:p>
        </w:tc>
        <w:tc>
          <w:tcPr>
            <w:tcW w:type="dxa" w:w="3408"/>
            <w:vAlign w:val="top"/>
          </w:tcPr>
          <w:p>
            <w:r>
              <w:rPr>
                <w:sz w:val="16"/>
              </w:rPr>
              <w:t>Tests performed</w:t>
            </w:r>
          </w:p>
        </w:tc>
        <w:tc>
          <w:tcPr>
            <w:tcW w:type="dxa" w:w="3408"/>
            <w:vAlign w:val="top"/>
          </w:tcPr>
          <w:p>
            <w:r>
              <w:rPr>
                <w:sz w:val="16"/>
              </w:rPr>
              <w:t>Ordered + collected + resulted + overdue</w:t>
            </w:r>
          </w:p>
        </w:tc>
      </w:tr>
      <w:tr>
        <w:tc>
          <w:tcPr>
            <w:tcW w:type="dxa" w:w="3408"/>
            <w:vAlign w:val="top"/>
          </w:tcPr>
          <w:p>
            <w:r>
              <w:rPr>
                <w:sz w:val="16"/>
              </w:rPr>
              <w:t>How many patients?</w:t>
            </w:r>
          </w:p>
        </w:tc>
        <w:tc>
          <w:tcPr>
            <w:tcW w:type="dxa" w:w="3408"/>
            <w:vAlign w:val="top"/>
          </w:tcPr>
          <w:p>
            <w:r>
              <w:rPr>
                <w:sz w:val="16"/>
              </w:rPr>
              <w:t>Visits/registrations</w:t>
            </w:r>
          </w:p>
        </w:tc>
        <w:tc>
          <w:tcPr>
            <w:tcW w:type="dxa" w:w="3408"/>
            <w:vAlign w:val="top"/>
          </w:tcPr>
          <w:p>
            <w:r>
              <w:rPr>
                <w:sz w:val="16"/>
              </w:rPr>
              <w:t>Patients currently stuck in care states</w:t>
            </w:r>
          </w:p>
        </w:tc>
      </w:tr>
      <w:tr>
        <w:tc>
          <w:tcPr>
            <w:tcW w:type="dxa" w:w="3408"/>
            <w:vAlign w:val="top"/>
          </w:tcPr>
          <w:p>
            <w:r>
              <w:rPr>
                <w:sz w:val="16"/>
              </w:rPr>
              <w:t>What is the problem?</w:t>
            </w:r>
          </w:p>
        </w:tc>
        <w:tc>
          <w:tcPr>
            <w:tcW w:type="dxa" w:w="3408"/>
            <w:vAlign w:val="top"/>
          </w:tcPr>
          <w:p>
            <w:r>
              <w:rPr>
                <w:sz w:val="16"/>
              </w:rPr>
              <w:t>Aggregate KPI</w:t>
            </w:r>
          </w:p>
        </w:tc>
        <w:tc>
          <w:tcPr>
            <w:tcW w:type="dxa" w:w="3408"/>
            <w:vAlign w:val="top"/>
          </w:tcPr>
          <w:p>
            <w:r>
              <w:rPr>
                <w:sz w:val="16"/>
              </w:rPr>
              <w:t>Root-cause distribution by facility and service</w:t>
            </w:r>
          </w:p>
        </w:tc>
      </w:tr>
      <w:tr>
        <w:tc>
          <w:tcPr>
            <w:tcW w:type="dxa" w:w="3408"/>
            <w:vAlign w:val="top"/>
          </w:tcPr>
          <w:p>
            <w:r>
              <w:rPr>
                <w:sz w:val="16"/>
              </w:rPr>
              <w:t>What should managers do?</w:t>
            </w:r>
          </w:p>
        </w:tc>
        <w:tc>
          <w:tcPr>
            <w:tcW w:type="dxa" w:w="3408"/>
            <w:vAlign w:val="top"/>
          </w:tcPr>
          <w:p>
            <w:r>
              <w:rPr>
                <w:sz w:val="16"/>
              </w:rPr>
              <w:t>Manual interpretation</w:t>
            </w:r>
          </w:p>
        </w:tc>
        <w:tc>
          <w:tcPr>
            <w:tcW w:type="dxa" w:w="3408"/>
            <w:vAlign w:val="top"/>
          </w:tcPr>
          <w:p>
            <w:r>
              <w:rPr>
                <w:sz w:val="16"/>
              </w:rPr>
              <w:t>Prioritized operational actions</w:t>
            </w:r>
          </w:p>
        </w:tc>
      </w:tr>
    </w:tbl>
    <w:p/>
    <w:p>
      <w:pPr>
        <w:pStyle w:val="Heading1"/>
      </w:pPr>
      <w:r>
        <w:t>11. Advantage 9 — Predictive capacity planning</w:t>
      </w:r>
    </w:p>
    <w:p>
      <w:r>
        <w:t>Once longitudinal journey events are available, the platform can estimate future demand for specialists, diagnostics, medicine and transport. This is a future-stage capability, not an MVP requirement. Forecasts should be used for planning, not as an autonomous clinical allocation mechanism.</w:t>
      </w:r>
    </w:p>
    <w:p>
      <w:r>
        <w:t>Potential inputs:</w:t>
      </w:r>
    </w:p>
    <w:p>
      <w:pPr>
        <w:pStyle w:val="ListBullet"/>
      </w:pPr>
      <w:r>
        <w:t>Historical referral volumes</w:t>
      </w:r>
    </w:p>
    <w:p>
      <w:pPr>
        <w:pStyle w:val="ListBullet"/>
      </w:pPr>
      <w:r>
        <w:t>Seasonality and public-health events</w:t>
      </w:r>
    </w:p>
    <w:p>
      <w:pPr>
        <w:pStyle w:val="ListBullet"/>
      </w:pPr>
      <w:r>
        <w:t>Facility service utilization</w:t>
      </w:r>
    </w:p>
    <w:p>
      <w:pPr>
        <w:pStyle w:val="ListBullet"/>
      </w:pPr>
      <w:r>
        <w:t>Diagnostic demand</w:t>
      </w:r>
    </w:p>
    <w:p>
      <w:pPr>
        <w:pStyle w:val="ListBullet"/>
      </w:pPr>
      <w:r>
        <w:t>Appointment backlog</w:t>
      </w:r>
    </w:p>
    <w:p>
      <w:pPr>
        <w:pStyle w:val="ListBullet"/>
      </w:pPr>
      <w:r>
        <w:t>Geographic demand patterns</w:t>
      </w:r>
    </w:p>
    <w:p>
      <w:pPr>
        <w:pStyle w:val="ListBullet"/>
      </w:pPr>
      <w:r>
        <w:t>Medicine consumption</w:t>
      </w:r>
    </w:p>
    <w:p>
      <w:pPr>
        <w:pStyle w:val="Heading1"/>
      </w:pPr>
      <w:r>
        <w:t>12. Advantage 10 — Rural equity monitoring</w:t>
      </w:r>
    </w:p>
    <w:p>
      <w:r>
        <w:t>The same journey metrics can identify whether improvements are reaching remote or underserved populations. The platform can compare care completion, time-to-care and referral leakage by geography, facility type and other permitted dimensions, with privacy safeguards and without exposing unnecessary personal data.</w:t>
      </w:r>
    </w:p>
    <w:p>
      <w:r>
        <w:rPr>
          <w:b/>
        </w:rPr>
        <w:t xml:space="preserve">Example: </w:t>
      </w:r>
      <w:r>
        <w:t>district referral completion = 82%, remote-area completion = 54%; investigate whether distance, transport or service availability explains the gap.</w:t>
      </w:r>
    </w:p>
    <w:p>
      <w:r>
        <w:t>Equity analytics should be presented as a management tool and validated for bias; the system must not treat geography or socioeconomic information as a proxy for clinical worth.</w:t>
      </w:r>
    </w:p>
    <w:p>
      <w:pPr>
        <w:pStyle w:val="Heading1"/>
      </w:pPr>
      <w:r>
        <w:t>13. Advantage 11 — Emergency preparedness</w:t>
      </w:r>
    </w:p>
    <w:p>
      <w:r>
        <w:t>A future orchestration capability can combine facility, transport, diagnostic, blood and medicine signals to support coordinated responses during floods, cyclones, heat events, outbreaks and mass-casualty incidents. This is particularly relevant for geographically difficult areas in Maharashtra and for disaster-prone regions nationally.</w:t>
      </w:r>
    </w:p>
    <w:p>
      <w:pPr>
        <w:pStyle w:val="Heading1"/>
      </w:pPr>
      <w:r>
        <w:t>14. Advantage 12 — Offline continuity</w:t>
      </w:r>
    </w:p>
    <w:p>
      <w:r>
        <w:t>Government programmes such as U-WIN and NP-NCD already demonstrate offline field capture and synchronization. The proposed platform can apply the same principle to care tasks and journey events so that a temporary network outage does not erase the operational state of a patient journey.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DED"/>
            <w:vAlign w:val="center"/>
          </w:tcPr>
          <w:p>
            <w:r>
              <w:rPr>
                <w:sz w:val="16"/>
              </w:rPr>
              <w:t>Offline risk</w:t>
            </w:r>
          </w:p>
        </w:tc>
        <w:tc>
          <w:tcPr>
            <w:tcW w:type="dxa" w:w="5112"/>
            <w:shd w:fill="EDEDED"/>
            <w:vAlign w:val="center"/>
          </w:tcPr>
          <w:p>
            <w:r>
              <w:rPr>
                <w:sz w:val="16"/>
              </w:rPr>
              <w:t>Design control</w:t>
            </w:r>
          </w:p>
        </w:tc>
      </w:tr>
      <w:tr>
        <w:tc>
          <w:tcPr>
            <w:tcW w:type="dxa" w:w="5112"/>
            <w:vAlign w:val="top"/>
          </w:tcPr>
          <w:p>
            <w:r>
              <w:rPr>
                <w:sz w:val="16"/>
              </w:rPr>
              <w:t>No network</w:t>
            </w:r>
          </w:p>
        </w:tc>
        <w:tc>
          <w:tcPr>
            <w:tcW w:type="dxa" w:w="5112"/>
            <w:vAlign w:val="top"/>
          </w:tcPr>
          <w:p>
            <w:r>
              <w:rPr>
                <w:sz w:val="16"/>
              </w:rPr>
              <w:t>Encrypted local queue for permitted data</w:t>
            </w:r>
          </w:p>
        </w:tc>
      </w:tr>
      <w:tr>
        <w:tc>
          <w:tcPr>
            <w:tcW w:type="dxa" w:w="5112"/>
            <w:vAlign w:val="top"/>
          </w:tcPr>
          <w:p>
            <w:r>
              <w:rPr>
                <w:sz w:val="16"/>
              </w:rPr>
              <w:t>Duplicate retry</w:t>
            </w:r>
          </w:p>
        </w:tc>
        <w:tc>
          <w:tcPr>
            <w:tcW w:type="dxa" w:w="5112"/>
            <w:vAlign w:val="top"/>
          </w:tcPr>
          <w:p>
            <w:r>
              <w:rPr>
                <w:sz w:val="16"/>
              </w:rPr>
              <w:t>Event ID + Idempotency-Key</w:t>
            </w:r>
          </w:p>
        </w:tc>
      </w:tr>
      <w:tr>
        <w:tc>
          <w:tcPr>
            <w:tcW w:type="dxa" w:w="5112"/>
            <w:vAlign w:val="top"/>
          </w:tcPr>
          <w:p>
            <w:r>
              <w:rPr>
                <w:sz w:val="16"/>
              </w:rPr>
              <w:t>Stale master data</w:t>
            </w:r>
          </w:p>
        </w:tc>
        <w:tc>
          <w:tcPr>
            <w:tcW w:type="dxa" w:w="5112"/>
            <w:vAlign w:val="top"/>
          </w:tcPr>
          <w:p>
            <w:r>
              <w:rPr>
                <w:sz w:val="16"/>
              </w:rPr>
              <w:t>Timestamp + confidence indicator</w:t>
            </w:r>
          </w:p>
        </w:tc>
      </w:tr>
      <w:tr>
        <w:tc>
          <w:tcPr>
            <w:tcW w:type="dxa" w:w="5112"/>
            <w:vAlign w:val="top"/>
          </w:tcPr>
          <w:p>
            <w:r>
              <w:rPr>
                <w:sz w:val="16"/>
              </w:rPr>
              <w:t>Conflict</w:t>
            </w:r>
          </w:p>
        </w:tc>
        <w:tc>
          <w:tcPr>
            <w:tcW w:type="dxa" w:w="5112"/>
            <w:vAlign w:val="top"/>
          </w:tcPr>
          <w:p>
            <w:r>
              <w:rPr>
                <w:sz w:val="16"/>
              </w:rPr>
              <w:t>Deterministic rules + human reconciliation</w:t>
            </w:r>
          </w:p>
        </w:tc>
      </w:tr>
      <w:tr>
        <w:tc>
          <w:tcPr>
            <w:tcW w:type="dxa" w:w="5112"/>
            <w:vAlign w:val="top"/>
          </w:tcPr>
          <w:p>
            <w:r>
              <w:rPr>
                <w:sz w:val="16"/>
              </w:rPr>
              <w:t>Failed sync</w:t>
            </w:r>
          </w:p>
        </w:tc>
        <w:tc>
          <w:tcPr>
            <w:tcW w:type="dxa" w:w="5112"/>
            <w:vAlign w:val="top"/>
          </w:tcPr>
          <w:p>
            <w:r>
              <w:rPr>
                <w:sz w:val="16"/>
              </w:rPr>
              <w:t>Exponential backoff + dead-letter queue</w:t>
            </w:r>
          </w:p>
        </w:tc>
      </w:tr>
      <w:tr>
        <w:tc>
          <w:tcPr>
            <w:tcW w:type="dxa" w:w="5112"/>
            <w:vAlign w:val="top"/>
          </w:tcPr>
          <w:p>
            <w:r>
              <w:rPr>
                <w:sz w:val="16"/>
              </w:rPr>
              <w:t>Device loss</w:t>
            </w:r>
          </w:p>
        </w:tc>
        <w:tc>
          <w:tcPr>
            <w:tcW w:type="dxa" w:w="5112"/>
            <w:vAlign w:val="top"/>
          </w:tcPr>
          <w:p>
            <w:r>
              <w:rPr>
                <w:sz w:val="16"/>
              </w:rPr>
              <w:t>Short local retention + encryption + remote revocation</w:t>
            </w:r>
          </w:p>
        </w:tc>
      </w:tr>
    </w:tbl>
    <w:p/>
    <w:p>
      <w:pPr>
        <w:pStyle w:val="Heading1"/>
      </w:pPr>
      <w:r>
        <w:t>15. Advantage 13 — Explainable recommendations</w:t>
      </w:r>
    </w:p>
    <w:p>
      <w:r>
        <w:t>Facility and task recommendations should be explainable to clinicians and operations teams. The interface should show the principal factors used rather than presenting an opaque score. For example: specialist available, required diagnostic available, appointment available, transport feasible and entitlement applicable.</w:t>
      </w:r>
    </w:p>
    <w:p>
      <w:r>
        <w:t>For AI-assisted recommendations, record the model/rule version, inputs used, timestamp, confidence where meaningful, human decision and final outcome. This creates a usable audit trail and supports clinical governance.</w:t>
      </w:r>
    </w:p>
    <w:p>
      <w:pPr>
        <w:pStyle w:val="Heading1"/>
      </w:pPr>
      <w:r>
        <w:t>16. Advantage 14 — Reduce avoidable referrals</w:t>
      </w:r>
    </w:p>
    <w:p>
      <w:r>
        <w:t>A Tamil Nadu hospital quality-improvement study identified excessive referral as a potential source of patient delay, cost and higher-level hospital overload. The platform can support clinicians by showing whether teleconsultation, local diagnostics or a lower-level service may be appropriate before physical referral. This must remain clinician-controlled; the system should never automatically block a medically indicated referral.</w:t>
      </w:r>
    </w:p>
    <w:p>
      <w:r>
        <w:t>This is a pilot hypothesis, not a guaranteed outcome. The evaluation should monitor both referral reduction and safety indicators to avoid reducing necessary care.</w:t>
      </w:r>
    </w:p>
    <w:p>
      <w:pPr>
        <w:pStyle w:val="Heading1"/>
      </w:pPr>
      <w:r>
        <w:t>17. State scalability advantage</w:t>
      </w:r>
    </w:p>
    <w:p>
      <w:r>
        <w:t>The platform should use a common core and state-specific adapters. Tamil Nadu can configure TN-HMIS/PICME/MTM/CMCHIS-related integrations; Maharashtra can configure its state systems, RCH/ANMOL, AAM telemedicine, MEMS 108, MJPJAY and remote/tribal workflows. This makes the architecture portable without pretending that state interfaces are identical.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DED"/>
            <w:vAlign w:val="center"/>
          </w:tcPr>
          <w:p>
            <w:r>
              <w:rPr>
                <w:sz w:val="16"/>
              </w:rPr>
              <w:t>Common core</w:t>
            </w:r>
          </w:p>
        </w:tc>
        <w:tc>
          <w:tcPr>
            <w:tcW w:type="dxa" w:w="5112"/>
            <w:shd w:fill="EDEDED"/>
            <w:vAlign w:val="center"/>
          </w:tcPr>
          <w:p>
            <w:r>
              <w:rPr>
                <w:sz w:val="16"/>
              </w:rPr>
              <w:t>State-specific adapter</w:t>
            </w:r>
          </w:p>
        </w:tc>
      </w:tr>
      <w:tr>
        <w:tc>
          <w:tcPr>
            <w:tcW w:type="dxa" w:w="5112"/>
            <w:vAlign w:val="top"/>
          </w:tcPr>
          <w:p>
            <w:r>
              <w:rPr>
                <w:sz w:val="16"/>
              </w:rPr>
              <w:t>Care Journey</w:t>
            </w:r>
          </w:p>
        </w:tc>
        <w:tc>
          <w:tcPr>
            <w:tcW w:type="dxa" w:w="5112"/>
            <w:vAlign w:val="top"/>
          </w:tcPr>
          <w:p>
            <w:r>
              <w:rPr>
                <w:sz w:val="16"/>
              </w:rPr>
              <w:t>Facility registry/state facility mapping</w:t>
            </w:r>
          </w:p>
        </w:tc>
      </w:tr>
      <w:tr>
        <w:tc>
          <w:tcPr>
            <w:tcW w:type="dxa" w:w="5112"/>
            <w:vAlign w:val="top"/>
          </w:tcPr>
          <w:p>
            <w:r>
              <w:rPr>
                <w:sz w:val="16"/>
              </w:rPr>
              <w:t>Referral Engine</w:t>
            </w:r>
          </w:p>
        </w:tc>
        <w:tc>
          <w:tcPr>
            <w:tcW w:type="dxa" w:w="5112"/>
            <w:vAlign w:val="top"/>
          </w:tcPr>
          <w:p>
            <w:r>
              <w:rPr>
                <w:sz w:val="16"/>
              </w:rPr>
              <w:t>State referral workflow</w:t>
            </w:r>
          </w:p>
        </w:tc>
      </w:tr>
      <w:tr>
        <w:tc>
          <w:tcPr>
            <w:tcW w:type="dxa" w:w="5112"/>
            <w:vAlign w:val="top"/>
          </w:tcPr>
          <w:p>
            <w:r>
              <w:rPr>
                <w:sz w:val="16"/>
              </w:rPr>
              <w:t>Capability Model</w:t>
            </w:r>
          </w:p>
        </w:tc>
        <w:tc>
          <w:tcPr>
            <w:tcW w:type="dxa" w:w="5112"/>
            <w:vAlign w:val="top"/>
          </w:tcPr>
          <w:p>
            <w:r>
              <w:rPr>
                <w:sz w:val="16"/>
              </w:rPr>
              <w:t>State operational availability feeds</w:t>
            </w:r>
          </w:p>
        </w:tc>
      </w:tr>
      <w:tr>
        <w:tc>
          <w:tcPr>
            <w:tcW w:type="dxa" w:w="5112"/>
            <w:vAlign w:val="top"/>
          </w:tcPr>
          <w:p>
            <w:r>
              <w:rPr>
                <w:sz w:val="16"/>
              </w:rPr>
              <w:t>Follow-up</w:t>
            </w:r>
          </w:p>
        </w:tc>
        <w:tc>
          <w:tcPr>
            <w:tcW w:type="dxa" w:w="5112"/>
            <w:vAlign w:val="top"/>
          </w:tcPr>
          <w:p>
            <w:r>
              <w:rPr>
                <w:sz w:val="16"/>
              </w:rPr>
              <w:t>State/program-specific task linkage</w:t>
            </w:r>
          </w:p>
        </w:tc>
      </w:tr>
      <w:tr>
        <w:tc>
          <w:tcPr>
            <w:tcW w:type="dxa" w:w="5112"/>
            <w:vAlign w:val="top"/>
          </w:tcPr>
          <w:p>
            <w:r>
              <w:rPr>
                <w:sz w:val="16"/>
              </w:rPr>
              <w:t>Offline Sync</w:t>
            </w:r>
          </w:p>
        </w:tc>
        <w:tc>
          <w:tcPr>
            <w:tcW w:type="dxa" w:w="5112"/>
            <w:vAlign w:val="top"/>
          </w:tcPr>
          <w:p>
            <w:r>
              <w:rPr>
                <w:sz w:val="16"/>
              </w:rPr>
              <w:t>State/device constraints</w:t>
            </w:r>
          </w:p>
        </w:tc>
      </w:tr>
      <w:tr>
        <w:tc>
          <w:tcPr>
            <w:tcW w:type="dxa" w:w="5112"/>
            <w:vAlign w:val="top"/>
          </w:tcPr>
          <w:p>
            <w:r>
              <w:rPr>
                <w:sz w:val="16"/>
              </w:rPr>
              <w:t>Analytics</w:t>
            </w:r>
          </w:p>
        </w:tc>
        <w:tc>
          <w:tcPr>
            <w:tcW w:type="dxa" w:w="5112"/>
            <w:vAlign w:val="top"/>
          </w:tcPr>
          <w:p>
            <w:r>
              <w:rPr>
                <w:sz w:val="16"/>
              </w:rPr>
              <w:t>State administrative hierarchy</w:t>
            </w:r>
          </w:p>
        </w:tc>
      </w:tr>
    </w:tbl>
    <w:p/>
    <w:p>
      <w:pPr>
        <w:pStyle w:val="Heading1"/>
      </w:pPr>
      <w:r>
        <w:t>18. Evidence strength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Added advantage</w:t>
            </w:r>
          </w:p>
        </w:tc>
        <w:tc>
          <w:tcPr>
            <w:tcW w:type="dxa" w:w="3408"/>
            <w:shd w:fill="EDEDED"/>
            <w:vAlign w:val="center"/>
          </w:tcPr>
          <w:p>
            <w:r>
              <w:rPr>
                <w:sz w:val="16"/>
              </w:rPr>
              <w:t>Evidence strength</w:t>
            </w:r>
          </w:p>
        </w:tc>
        <w:tc>
          <w:tcPr>
            <w:tcW w:type="dxa" w:w="3408"/>
            <w:shd w:fill="EDEDED"/>
            <w:vAlign w:val="center"/>
          </w:tcPr>
          <w:p>
            <w:r>
              <w:rPr>
                <w:sz w:val="16"/>
              </w:rPr>
              <w:t>How to present in project</w:t>
            </w:r>
          </w:p>
        </w:tc>
      </w:tr>
      <w:tr>
        <w:tc>
          <w:tcPr>
            <w:tcW w:type="dxa" w:w="3408"/>
            <w:vAlign w:val="top"/>
          </w:tcPr>
          <w:p>
            <w:r>
              <w:rPr>
                <w:sz w:val="16"/>
              </w:rPr>
              <w:t>Reduced travel through telemedicine</w:t>
            </w:r>
          </w:p>
        </w:tc>
        <w:tc>
          <w:tcPr>
            <w:tcW w:type="dxa" w:w="3408"/>
            <w:vAlign w:val="top"/>
          </w:tcPr>
          <w:p>
            <w:r>
              <w:rPr>
                <w:sz w:val="16"/>
              </w:rPr>
              <w:t>Strong</w:t>
            </w:r>
          </w:p>
        </w:tc>
        <w:tc>
          <w:tcPr>
            <w:tcW w:type="dxa" w:w="3408"/>
            <w:vAlign w:val="top"/>
          </w:tcPr>
          <w:p>
            <w:r>
              <w:rPr>
                <w:sz w:val="16"/>
              </w:rPr>
              <w:t>Established benefit; quantify locally</w:t>
            </w:r>
          </w:p>
        </w:tc>
      </w:tr>
      <w:tr>
        <w:tc>
          <w:tcPr>
            <w:tcW w:type="dxa" w:w="3408"/>
            <w:vAlign w:val="top"/>
          </w:tcPr>
          <w:p>
            <w:r>
              <w:rPr>
                <w:sz w:val="16"/>
              </w:rPr>
              <w:t>Lower duplicate entry</w:t>
            </w:r>
          </w:p>
        </w:tc>
        <w:tc>
          <w:tcPr>
            <w:tcW w:type="dxa" w:w="3408"/>
            <w:vAlign w:val="top"/>
          </w:tcPr>
          <w:p>
            <w:r>
              <w:rPr>
                <w:sz w:val="16"/>
              </w:rPr>
              <w:t>Strong problem evidence</w:t>
            </w:r>
          </w:p>
        </w:tc>
        <w:tc>
          <w:tcPr>
            <w:tcW w:type="dxa" w:w="3408"/>
            <w:vAlign w:val="top"/>
          </w:tcPr>
          <w:p>
            <w:r>
              <w:rPr>
                <w:sz w:val="16"/>
              </w:rPr>
              <w:t>Expected benefit; measure worker time</w:t>
            </w:r>
          </w:p>
        </w:tc>
      </w:tr>
      <w:tr>
        <w:tc>
          <w:tcPr>
            <w:tcW w:type="dxa" w:w="3408"/>
            <w:vAlign w:val="top"/>
          </w:tcPr>
          <w:p>
            <w:r>
              <w:rPr>
                <w:sz w:val="16"/>
              </w:rPr>
              <w:t>Better referral coordination</w:t>
            </w:r>
          </w:p>
        </w:tc>
        <w:tc>
          <w:tcPr>
            <w:tcW w:type="dxa" w:w="3408"/>
            <w:vAlign w:val="top"/>
          </w:tcPr>
          <w:p>
            <w:r>
              <w:rPr>
                <w:sz w:val="16"/>
              </w:rPr>
              <w:t>Moderate / emerging</w:t>
            </w:r>
          </w:p>
        </w:tc>
        <w:tc>
          <w:tcPr>
            <w:tcW w:type="dxa" w:w="3408"/>
            <w:vAlign w:val="top"/>
          </w:tcPr>
          <w:p>
            <w:r>
              <w:rPr>
                <w:sz w:val="16"/>
              </w:rPr>
              <w:t>Pilot hypothesis</w:t>
            </w:r>
          </w:p>
        </w:tc>
      </w:tr>
      <w:tr>
        <w:tc>
          <w:tcPr>
            <w:tcW w:type="dxa" w:w="3408"/>
            <w:vAlign w:val="top"/>
          </w:tcPr>
          <w:p>
            <w:r>
              <w:rPr>
                <w:sz w:val="16"/>
              </w:rPr>
              <w:t>Care leakage detection</w:t>
            </w:r>
          </w:p>
        </w:tc>
        <w:tc>
          <w:tcPr>
            <w:tcW w:type="dxa" w:w="3408"/>
            <w:vAlign w:val="top"/>
          </w:tcPr>
          <w:p>
            <w:r>
              <w:rPr>
                <w:sz w:val="16"/>
              </w:rPr>
              <w:t>Strong problem rationale</w:t>
            </w:r>
          </w:p>
        </w:tc>
        <w:tc>
          <w:tcPr>
            <w:tcW w:type="dxa" w:w="3408"/>
            <w:vAlign w:val="top"/>
          </w:tcPr>
          <w:p>
            <w:r>
              <w:rPr>
                <w:sz w:val="16"/>
              </w:rPr>
              <w:t>Core capability</w:t>
            </w:r>
          </w:p>
        </w:tc>
      </w:tr>
      <w:tr>
        <w:tc>
          <w:tcPr>
            <w:tcW w:type="dxa" w:w="3408"/>
            <w:vAlign w:val="top"/>
          </w:tcPr>
          <w:p>
            <w:r>
              <w:rPr>
                <w:sz w:val="16"/>
              </w:rPr>
              <w:t>Referral completion improvement</w:t>
            </w:r>
          </w:p>
        </w:tc>
        <w:tc>
          <w:tcPr>
            <w:tcW w:type="dxa" w:w="3408"/>
            <w:vAlign w:val="top"/>
          </w:tcPr>
          <w:p>
            <w:r>
              <w:rPr>
                <w:sz w:val="16"/>
              </w:rPr>
              <w:t>Emerging</w:t>
            </w:r>
          </w:p>
        </w:tc>
        <w:tc>
          <w:tcPr>
            <w:tcW w:type="dxa" w:w="3408"/>
            <w:vAlign w:val="top"/>
          </w:tcPr>
          <w:p>
            <w:r>
              <w:rPr>
                <w:sz w:val="16"/>
              </w:rPr>
              <w:t>Pilot outcome</w:t>
            </w:r>
          </w:p>
        </w:tc>
      </w:tr>
      <w:tr>
        <w:tc>
          <w:tcPr>
            <w:tcW w:type="dxa" w:w="3408"/>
            <w:vAlign w:val="top"/>
          </w:tcPr>
          <w:p>
            <w:r>
              <w:rPr>
                <w:sz w:val="16"/>
              </w:rPr>
              <w:t>Diagnostic coordination</w:t>
            </w:r>
          </w:p>
        </w:tc>
        <w:tc>
          <w:tcPr>
            <w:tcW w:type="dxa" w:w="3408"/>
            <w:vAlign w:val="top"/>
          </w:tcPr>
          <w:p>
            <w:r>
              <w:rPr>
                <w:sz w:val="16"/>
              </w:rPr>
              <w:t>Logical/system benefit</w:t>
            </w:r>
          </w:p>
        </w:tc>
        <w:tc>
          <w:tcPr>
            <w:tcW w:type="dxa" w:w="3408"/>
            <w:vAlign w:val="top"/>
          </w:tcPr>
          <w:p>
            <w:r>
              <w:rPr>
                <w:sz w:val="16"/>
              </w:rPr>
              <w:t>Pilot outcome</w:t>
            </w:r>
          </w:p>
        </w:tc>
      </w:tr>
      <w:tr>
        <w:tc>
          <w:tcPr>
            <w:tcW w:type="dxa" w:w="3408"/>
            <w:vAlign w:val="top"/>
          </w:tcPr>
          <w:p>
            <w:r>
              <w:rPr>
                <w:sz w:val="16"/>
              </w:rPr>
              <w:t>Medicine routing</w:t>
            </w:r>
          </w:p>
        </w:tc>
        <w:tc>
          <w:tcPr>
            <w:tcW w:type="dxa" w:w="3408"/>
            <w:vAlign w:val="top"/>
          </w:tcPr>
          <w:p>
            <w:r>
              <w:rPr>
                <w:sz w:val="16"/>
              </w:rPr>
              <w:t>Logical/system benefit</w:t>
            </w:r>
          </w:p>
        </w:tc>
        <w:tc>
          <w:tcPr>
            <w:tcW w:type="dxa" w:w="3408"/>
            <w:vAlign w:val="top"/>
          </w:tcPr>
          <w:p>
            <w:r>
              <w:rPr>
                <w:sz w:val="16"/>
              </w:rPr>
              <w:t>Pilot outcome</w:t>
            </w:r>
          </w:p>
        </w:tc>
      </w:tr>
      <w:tr>
        <w:tc>
          <w:tcPr>
            <w:tcW w:type="dxa" w:w="3408"/>
            <w:vAlign w:val="top"/>
          </w:tcPr>
          <w:p>
            <w:r>
              <w:rPr>
                <w:sz w:val="16"/>
              </w:rPr>
              <w:t>Early-warning dashboard</w:t>
            </w:r>
          </w:p>
        </w:tc>
        <w:tc>
          <w:tcPr>
            <w:tcW w:type="dxa" w:w="3408"/>
            <w:vAlign w:val="top"/>
          </w:tcPr>
          <w:p>
            <w:r>
              <w:rPr>
                <w:sz w:val="16"/>
              </w:rPr>
              <w:t>Strong operational rationale</w:t>
            </w:r>
          </w:p>
        </w:tc>
        <w:tc>
          <w:tcPr>
            <w:tcW w:type="dxa" w:w="3408"/>
            <w:vAlign w:val="top"/>
          </w:tcPr>
          <w:p>
            <w:r>
              <w:rPr>
                <w:sz w:val="16"/>
              </w:rPr>
              <w:t>Core capability</w:t>
            </w:r>
          </w:p>
        </w:tc>
      </w:tr>
      <w:tr>
        <w:tc>
          <w:tcPr>
            <w:tcW w:type="dxa" w:w="3408"/>
            <w:vAlign w:val="top"/>
          </w:tcPr>
          <w:p>
            <w:r>
              <w:rPr>
                <w:sz w:val="16"/>
              </w:rPr>
              <w:t>Predictive planning</w:t>
            </w:r>
          </w:p>
        </w:tc>
        <w:tc>
          <w:tcPr>
            <w:tcW w:type="dxa" w:w="3408"/>
            <w:vAlign w:val="top"/>
          </w:tcPr>
          <w:p>
            <w:r>
              <w:rPr>
                <w:sz w:val="16"/>
              </w:rPr>
              <w:t>Technically plausible</w:t>
            </w:r>
          </w:p>
        </w:tc>
        <w:tc>
          <w:tcPr>
            <w:tcW w:type="dxa" w:w="3408"/>
            <w:vAlign w:val="top"/>
          </w:tcPr>
          <w:p>
            <w:r>
              <w:rPr>
                <w:sz w:val="16"/>
              </w:rPr>
              <w:t>Future capability</w:t>
            </w:r>
          </w:p>
        </w:tc>
      </w:tr>
      <w:tr>
        <w:tc>
          <w:tcPr>
            <w:tcW w:type="dxa" w:w="3408"/>
            <w:vAlign w:val="top"/>
          </w:tcPr>
          <w:p>
            <w:r>
              <w:rPr>
                <w:sz w:val="16"/>
              </w:rPr>
              <w:t>Equity monitoring</w:t>
            </w:r>
          </w:p>
        </w:tc>
        <w:tc>
          <w:tcPr>
            <w:tcW w:type="dxa" w:w="3408"/>
            <w:vAlign w:val="top"/>
          </w:tcPr>
          <w:p>
            <w:r>
              <w:rPr>
                <w:sz w:val="16"/>
              </w:rPr>
              <w:t>Technically strong</w:t>
            </w:r>
          </w:p>
        </w:tc>
        <w:tc>
          <w:tcPr>
            <w:tcW w:type="dxa" w:w="3408"/>
            <w:vAlign w:val="top"/>
          </w:tcPr>
          <w:p>
            <w:r>
              <w:rPr>
                <w:sz w:val="16"/>
              </w:rPr>
              <w:t>Analytics capability; validate fairness</w:t>
            </w:r>
          </w:p>
        </w:tc>
      </w:tr>
      <w:tr>
        <w:tc>
          <w:tcPr>
            <w:tcW w:type="dxa" w:w="3408"/>
            <w:vAlign w:val="top"/>
          </w:tcPr>
          <w:p>
            <w:r>
              <w:rPr>
                <w:sz w:val="16"/>
              </w:rPr>
              <w:t>AI next-best-action</w:t>
            </w:r>
          </w:p>
        </w:tc>
        <w:tc>
          <w:tcPr>
            <w:tcW w:type="dxa" w:w="3408"/>
            <w:vAlign w:val="top"/>
          </w:tcPr>
          <w:p>
            <w:r>
              <w:rPr>
                <w:sz w:val="16"/>
              </w:rPr>
              <w:t>Emerging</w:t>
            </w:r>
          </w:p>
        </w:tc>
        <w:tc>
          <w:tcPr>
            <w:tcW w:type="dxa" w:w="3408"/>
            <w:vAlign w:val="top"/>
          </w:tcPr>
          <w:p>
            <w:r>
              <w:rPr>
                <w:sz w:val="16"/>
              </w:rPr>
              <w:t>Rules-first + human-supervised pilot</w:t>
            </w:r>
          </w:p>
        </w:tc>
      </w:tr>
      <w:tr>
        <w:tc>
          <w:tcPr>
            <w:tcW w:type="dxa" w:w="3408"/>
            <w:vAlign w:val="top"/>
          </w:tcPr>
          <w:p>
            <w:r>
              <w:rPr>
                <w:sz w:val="16"/>
              </w:rPr>
              <w:t>Avoidable-referral reduction</w:t>
            </w:r>
          </w:p>
        </w:tc>
        <w:tc>
          <w:tcPr>
            <w:tcW w:type="dxa" w:w="3408"/>
            <w:vAlign w:val="top"/>
          </w:tcPr>
          <w:p>
            <w:r>
              <w:rPr>
                <w:sz w:val="16"/>
              </w:rPr>
              <w:t>Plausible + clinical risk</w:t>
            </w:r>
          </w:p>
        </w:tc>
        <w:tc>
          <w:tcPr>
            <w:tcW w:type="dxa" w:w="3408"/>
            <w:vAlign w:val="top"/>
          </w:tcPr>
          <w:p>
            <w:r>
              <w:rPr>
                <w:sz w:val="16"/>
              </w:rPr>
              <w:t>Strictly measure with safety guardrails</w:t>
            </w:r>
          </w:p>
        </w:tc>
      </w:tr>
    </w:tbl>
    <w:p/>
    <w:p>
      <w:pPr>
        <w:pStyle w:val="Heading1"/>
      </w:pPr>
      <w:r>
        <w:t>19. What should become core vs future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DED"/>
            <w:vAlign w:val="center"/>
          </w:tcPr>
          <w:p>
            <w:r>
              <w:rPr>
                <w:sz w:val="16"/>
              </w:rPr>
              <w:t>MVP/core</w:t>
            </w:r>
          </w:p>
        </w:tc>
        <w:tc>
          <w:tcPr>
            <w:tcW w:type="dxa" w:w="5112"/>
            <w:shd w:fill="EDEDED"/>
            <w:vAlign w:val="center"/>
          </w:tcPr>
          <w:p>
            <w:r>
              <w:rPr>
                <w:sz w:val="16"/>
              </w:rPr>
              <w:t>Phase 2/advanced</w:t>
            </w:r>
          </w:p>
        </w:tc>
      </w:tr>
      <w:tr>
        <w:tc>
          <w:tcPr>
            <w:tcW w:type="dxa" w:w="5112"/>
            <w:vAlign w:val="top"/>
          </w:tcPr>
          <w:p>
            <w:r>
              <w:rPr>
                <w:sz w:val="16"/>
              </w:rPr>
              <w:t>Closed-loop referral</w:t>
            </w:r>
          </w:p>
        </w:tc>
        <w:tc>
          <w:tcPr>
            <w:tcW w:type="dxa" w:w="5112"/>
            <w:vAlign w:val="top"/>
          </w:tcPr>
          <w:p>
            <w:r>
              <w:rPr>
                <w:sz w:val="16"/>
              </w:rPr>
              <w:t>Predictive referral leakage</w:t>
            </w:r>
          </w:p>
        </w:tc>
      </w:tr>
      <w:tr>
        <w:tc>
          <w:tcPr>
            <w:tcW w:type="dxa" w:w="5112"/>
            <w:vAlign w:val="top"/>
          </w:tcPr>
          <w:p>
            <w:r>
              <w:rPr>
                <w:sz w:val="16"/>
              </w:rPr>
              <w:t>Journey state machine</w:t>
            </w:r>
          </w:p>
        </w:tc>
        <w:tc>
          <w:tcPr>
            <w:tcW w:type="dxa" w:w="5112"/>
            <w:vAlign w:val="top"/>
          </w:tcPr>
          <w:p>
            <w:r>
              <w:rPr>
                <w:sz w:val="16"/>
              </w:rPr>
              <w:t>Demand forecasting</w:t>
            </w:r>
          </w:p>
        </w:tc>
      </w:tr>
      <w:tr>
        <w:tc>
          <w:tcPr>
            <w:tcW w:type="dxa" w:w="5112"/>
            <w:vAlign w:val="top"/>
          </w:tcPr>
          <w:p>
            <w:r>
              <w:rPr>
                <w:sz w:val="16"/>
              </w:rPr>
              <w:t>Facility capability matching</w:t>
            </w:r>
          </w:p>
        </w:tc>
        <w:tc>
          <w:tcPr>
            <w:tcW w:type="dxa" w:w="5112"/>
            <w:vAlign w:val="top"/>
          </w:tcPr>
          <w:p>
            <w:r>
              <w:rPr>
                <w:sz w:val="16"/>
              </w:rPr>
              <w:t>Emergency preparedness</w:t>
            </w:r>
          </w:p>
        </w:tc>
      </w:tr>
      <w:tr>
        <w:tc>
          <w:tcPr>
            <w:tcW w:type="dxa" w:w="5112"/>
            <w:vAlign w:val="top"/>
          </w:tcPr>
          <w:p>
            <w:r>
              <w:rPr>
                <w:sz w:val="16"/>
              </w:rPr>
              <w:t>Frontline single workspace</w:t>
            </w:r>
          </w:p>
        </w:tc>
        <w:tc>
          <w:tcPr>
            <w:tcW w:type="dxa" w:w="5112"/>
            <w:vAlign w:val="top"/>
          </w:tcPr>
          <w:p>
            <w:r>
              <w:rPr>
                <w:sz w:val="16"/>
              </w:rPr>
              <w:t>Advanced equity modelling</w:t>
            </w:r>
          </w:p>
        </w:tc>
      </w:tr>
      <w:tr>
        <w:tc>
          <w:tcPr>
            <w:tcW w:type="dxa" w:w="5112"/>
            <w:vAlign w:val="top"/>
          </w:tcPr>
          <w:p>
            <w:r>
              <w:rPr>
                <w:sz w:val="16"/>
              </w:rPr>
              <w:t>Diagnostic coordination</w:t>
            </w:r>
          </w:p>
        </w:tc>
        <w:tc>
          <w:tcPr>
            <w:tcW w:type="dxa" w:w="5112"/>
            <w:vAlign w:val="top"/>
          </w:tcPr>
          <w:p>
            <w:r>
              <w:rPr>
                <w:sz w:val="16"/>
              </w:rPr>
              <w:t>ML-based next-best-action</w:t>
            </w:r>
          </w:p>
        </w:tc>
      </w:tr>
      <w:tr>
        <w:tc>
          <w:tcPr>
            <w:tcW w:type="dxa" w:w="5112"/>
            <w:vAlign w:val="top"/>
          </w:tcPr>
          <w:p>
            <w:r>
              <w:rPr>
                <w:sz w:val="16"/>
              </w:rPr>
              <w:t>Follow-up tasking</w:t>
            </w:r>
          </w:p>
        </w:tc>
        <w:tc>
          <w:tcPr>
            <w:tcW w:type="dxa" w:w="5112"/>
            <w:vAlign w:val="top"/>
          </w:tcPr>
          <w:p>
            <w:r>
              <w:rPr>
                <w:sz w:val="16"/>
              </w:rPr>
              <w:t>Automated anomaly detection</w:t>
            </w:r>
          </w:p>
        </w:tc>
      </w:tr>
      <w:tr>
        <w:tc>
          <w:tcPr>
            <w:tcW w:type="dxa" w:w="5112"/>
            <w:vAlign w:val="top"/>
          </w:tcPr>
          <w:p>
            <w:r>
              <w:rPr>
                <w:sz w:val="16"/>
              </w:rPr>
              <w:t>Offline sync</w:t>
            </w:r>
          </w:p>
        </w:tc>
        <w:tc>
          <w:tcPr>
            <w:tcW w:type="dxa" w:w="5112"/>
            <w:vAlign w:val="top"/>
          </w:tcPr>
          <w:p>
            <w:r>
              <w:rPr>
                <w:sz w:val="16"/>
              </w:rPr>
              <w:t>Large-scale capacity optimization</w:t>
            </w:r>
          </w:p>
        </w:tc>
      </w:tr>
      <w:tr>
        <w:tc>
          <w:tcPr>
            <w:tcW w:type="dxa" w:w="5112"/>
            <w:vAlign w:val="top"/>
          </w:tcPr>
          <w:p>
            <w:r>
              <w:rPr>
                <w:sz w:val="16"/>
              </w:rPr>
              <w:t>Operational dashboard</w:t>
            </w:r>
          </w:p>
        </w:tc>
        <w:tc>
          <w:tcPr>
            <w:tcW w:type="dxa" w:w="5112"/>
            <w:vAlign w:val="top"/>
          </w:tcPr>
          <w:p>
            <w:r>
              <w:rPr>
                <w:sz w:val="16"/>
              </w:rPr>
              <w:t>Population-level predictive analytics</w:t>
            </w:r>
          </w:p>
        </w:tc>
      </w:tr>
    </w:tbl>
    <w:p/>
    <w:p>
      <w:pPr>
        <w:pStyle w:val="Heading1"/>
      </w:pPr>
      <w:r>
        <w:t>20. Non-negotiable design principle</w:t>
      </w:r>
    </w:p>
    <w:p>
      <w:r>
        <w:t>Every new feature must either remove a workflow burden, connect an existing service, or measurably improve a patient outcome. A feature that merely creates another data-entry or reporting requirement should not be added. This is especially important because Indian field reviews have documented the burden created by multiple portals and registers.</w:t>
      </w:r>
    </w:p>
    <w:p>
      <w:pPr>
        <w:pStyle w:val="Heading1"/>
      </w:pPr>
      <w:r>
        <w:t>21. Recommended evaluation framework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DEDED"/>
            <w:vAlign w:val="center"/>
          </w:tcPr>
          <w:p>
            <w:r>
              <w:rPr>
                <w:sz w:val="16"/>
              </w:rPr>
              <w:t>Measure</w:t>
            </w:r>
          </w:p>
        </w:tc>
        <w:tc>
          <w:tcPr>
            <w:tcW w:type="dxa" w:w="2556"/>
            <w:shd w:fill="EDEDED"/>
            <w:vAlign w:val="center"/>
          </w:tcPr>
          <w:p>
            <w:r>
              <w:rPr>
                <w:sz w:val="16"/>
              </w:rPr>
              <w:t>Baseline</w:t>
            </w:r>
          </w:p>
        </w:tc>
        <w:tc>
          <w:tcPr>
            <w:tcW w:type="dxa" w:w="2556"/>
            <w:shd w:fill="EDEDED"/>
            <w:vAlign w:val="center"/>
          </w:tcPr>
          <w:p>
            <w:r>
              <w:rPr>
                <w:sz w:val="16"/>
              </w:rPr>
              <w:t>Target direction</w:t>
            </w:r>
          </w:p>
        </w:tc>
        <w:tc>
          <w:tcPr>
            <w:tcW w:type="dxa" w:w="2556"/>
            <w:shd w:fill="EDEDED"/>
            <w:vAlign w:val="center"/>
          </w:tcPr>
          <w:p>
            <w:r>
              <w:rPr>
                <w:sz w:val="16"/>
              </w:rPr>
              <w:t>Evidence method</w:t>
            </w:r>
          </w:p>
        </w:tc>
      </w:tr>
      <w:tr>
        <w:tc>
          <w:tcPr>
            <w:tcW w:type="dxa" w:w="2556"/>
            <w:vAlign w:val="top"/>
          </w:tcPr>
          <w:p>
            <w:r>
              <w:rPr>
                <w:sz w:val="16"/>
              </w:rPr>
              <w:t>Referral closure rate</w:t>
            </w:r>
          </w:p>
        </w:tc>
        <w:tc>
          <w:tcPr>
            <w:tcW w:type="dxa" w:w="2556"/>
            <w:vAlign w:val="top"/>
          </w:tcPr>
          <w:p>
            <w:r>
              <w:rPr>
                <w:sz w:val="16"/>
              </w:rPr>
              <w:t>Existing system data</w:t>
            </w:r>
          </w:p>
        </w:tc>
        <w:tc>
          <w:tcPr>
            <w:tcW w:type="dxa" w:w="2556"/>
            <w:vAlign w:val="top"/>
          </w:tcPr>
          <w:p>
            <w:r>
              <w:rPr>
                <w:sz w:val="16"/>
              </w:rPr>
              <w:t>↑</w:t>
            </w:r>
          </w:p>
        </w:tc>
        <w:tc>
          <w:tcPr>
            <w:tcW w:type="dxa" w:w="2556"/>
            <w:vAlign w:val="top"/>
          </w:tcPr>
          <w:p>
            <w:r>
              <w:rPr>
                <w:sz w:val="16"/>
              </w:rPr>
              <w:t>Journey event audit</w:t>
            </w:r>
          </w:p>
        </w:tc>
      </w:tr>
      <w:tr>
        <w:tc>
          <w:tcPr>
            <w:tcW w:type="dxa" w:w="2556"/>
            <w:vAlign w:val="top"/>
          </w:tcPr>
          <w:p>
            <w:r>
              <w:rPr>
                <w:sz w:val="16"/>
              </w:rPr>
              <w:t>Time to specialist</w:t>
            </w:r>
          </w:p>
        </w:tc>
        <w:tc>
          <w:tcPr>
            <w:tcW w:type="dxa" w:w="2556"/>
            <w:vAlign w:val="top"/>
          </w:tcPr>
          <w:p>
            <w:r>
              <w:rPr>
                <w:sz w:val="16"/>
              </w:rPr>
              <w:t>Baseline sample</w:t>
            </w:r>
          </w:p>
        </w:tc>
        <w:tc>
          <w:tcPr>
            <w:tcW w:type="dxa" w:w="2556"/>
            <w:vAlign w:val="top"/>
          </w:tcPr>
          <w:p>
            <w:r>
              <w:rPr>
                <w:sz w:val="16"/>
              </w:rPr>
              <w:t>↓</w:t>
            </w:r>
          </w:p>
        </w:tc>
        <w:tc>
          <w:tcPr>
            <w:tcW w:type="dxa" w:w="2556"/>
            <w:vAlign w:val="top"/>
          </w:tcPr>
          <w:p>
            <w:r>
              <w:rPr>
                <w:sz w:val="16"/>
              </w:rPr>
              <w:t>Timestamp comparison</w:t>
            </w:r>
          </w:p>
        </w:tc>
      </w:tr>
      <w:tr>
        <w:tc>
          <w:tcPr>
            <w:tcW w:type="dxa" w:w="2556"/>
            <w:vAlign w:val="top"/>
          </w:tcPr>
          <w:p>
            <w:r>
              <w:rPr>
                <w:sz w:val="16"/>
              </w:rPr>
              <w:t>Diagnostic completion time</w:t>
            </w:r>
          </w:p>
        </w:tc>
        <w:tc>
          <w:tcPr>
            <w:tcW w:type="dxa" w:w="2556"/>
            <w:vAlign w:val="top"/>
          </w:tcPr>
          <w:p>
            <w:r>
              <w:rPr>
                <w:sz w:val="16"/>
              </w:rPr>
              <w:t>Baseline sample</w:t>
            </w:r>
          </w:p>
        </w:tc>
        <w:tc>
          <w:tcPr>
            <w:tcW w:type="dxa" w:w="2556"/>
            <w:vAlign w:val="top"/>
          </w:tcPr>
          <w:p>
            <w:r>
              <w:rPr>
                <w:sz w:val="16"/>
              </w:rPr>
              <w:t>↓</w:t>
            </w:r>
          </w:p>
        </w:tc>
        <w:tc>
          <w:tcPr>
            <w:tcW w:type="dxa" w:w="2556"/>
            <w:vAlign w:val="top"/>
          </w:tcPr>
          <w:p>
            <w:r>
              <w:rPr>
                <w:sz w:val="16"/>
              </w:rPr>
              <w:t>Order/result timestamps</w:t>
            </w:r>
          </w:p>
        </w:tc>
      </w:tr>
      <w:tr>
        <w:tc>
          <w:tcPr>
            <w:tcW w:type="dxa" w:w="2556"/>
            <w:vAlign w:val="top"/>
          </w:tcPr>
          <w:p>
            <w:r>
              <w:rPr>
                <w:sz w:val="16"/>
              </w:rPr>
              <w:t>Follow-up completion</w:t>
            </w:r>
          </w:p>
        </w:tc>
        <w:tc>
          <w:tcPr>
            <w:tcW w:type="dxa" w:w="2556"/>
            <w:vAlign w:val="top"/>
          </w:tcPr>
          <w:p>
            <w:r>
              <w:rPr>
                <w:sz w:val="16"/>
              </w:rPr>
              <w:t>Programme baseline</w:t>
            </w:r>
          </w:p>
        </w:tc>
        <w:tc>
          <w:tcPr>
            <w:tcW w:type="dxa" w:w="2556"/>
            <w:vAlign w:val="top"/>
          </w:tcPr>
          <w:p>
            <w:r>
              <w:rPr>
                <w:sz w:val="16"/>
              </w:rPr>
              <w:t>↑</w:t>
            </w:r>
          </w:p>
        </w:tc>
        <w:tc>
          <w:tcPr>
            <w:tcW w:type="dxa" w:w="2556"/>
            <w:vAlign w:val="top"/>
          </w:tcPr>
          <w:p>
            <w:r>
              <w:rPr>
                <w:sz w:val="16"/>
              </w:rPr>
              <w:t>Task completion</w:t>
            </w:r>
          </w:p>
        </w:tc>
      </w:tr>
      <w:tr>
        <w:tc>
          <w:tcPr>
            <w:tcW w:type="dxa" w:w="2556"/>
            <w:vAlign w:val="top"/>
          </w:tcPr>
          <w:p>
            <w:r>
              <w:rPr>
                <w:sz w:val="16"/>
              </w:rPr>
              <w:t>Travel burden</w:t>
            </w:r>
          </w:p>
        </w:tc>
        <w:tc>
          <w:tcPr>
            <w:tcW w:type="dxa" w:w="2556"/>
            <w:vAlign w:val="top"/>
          </w:tcPr>
          <w:p>
            <w:r>
              <w:rPr>
                <w:sz w:val="16"/>
              </w:rPr>
              <w:t>Patient survey</w:t>
            </w:r>
          </w:p>
        </w:tc>
        <w:tc>
          <w:tcPr>
            <w:tcW w:type="dxa" w:w="2556"/>
            <w:vAlign w:val="top"/>
          </w:tcPr>
          <w:p>
            <w:r>
              <w:rPr>
                <w:sz w:val="16"/>
              </w:rPr>
              <w:t>↓</w:t>
            </w:r>
          </w:p>
        </w:tc>
        <w:tc>
          <w:tcPr>
            <w:tcW w:type="dxa" w:w="2556"/>
            <w:vAlign w:val="top"/>
          </w:tcPr>
          <w:p>
            <w:r>
              <w:rPr>
                <w:sz w:val="16"/>
              </w:rPr>
              <w:t>Patient-reported + GIS</w:t>
            </w:r>
          </w:p>
        </w:tc>
      </w:tr>
      <w:tr>
        <w:tc>
          <w:tcPr>
            <w:tcW w:type="dxa" w:w="2556"/>
            <w:vAlign w:val="top"/>
          </w:tcPr>
          <w:p>
            <w:r>
              <w:rPr>
                <w:sz w:val="16"/>
              </w:rPr>
              <w:t>Worker documentation time</w:t>
            </w:r>
          </w:p>
        </w:tc>
        <w:tc>
          <w:tcPr>
            <w:tcW w:type="dxa" w:w="2556"/>
            <w:vAlign w:val="top"/>
          </w:tcPr>
          <w:p>
            <w:r>
              <w:rPr>
                <w:sz w:val="16"/>
              </w:rPr>
              <w:t>Time study</w:t>
            </w:r>
          </w:p>
        </w:tc>
        <w:tc>
          <w:tcPr>
            <w:tcW w:type="dxa" w:w="2556"/>
            <w:vAlign w:val="top"/>
          </w:tcPr>
          <w:p>
            <w:r>
              <w:rPr>
                <w:sz w:val="16"/>
              </w:rPr>
              <w:t>↓</w:t>
            </w:r>
          </w:p>
        </w:tc>
        <w:tc>
          <w:tcPr>
            <w:tcW w:type="dxa" w:w="2556"/>
            <w:vAlign w:val="top"/>
          </w:tcPr>
          <w:p>
            <w:r>
              <w:rPr>
                <w:sz w:val="16"/>
              </w:rPr>
              <w:t>Observation/time log</w:t>
            </w:r>
          </w:p>
        </w:tc>
      </w:tr>
      <w:tr>
        <w:tc>
          <w:tcPr>
            <w:tcW w:type="dxa" w:w="2556"/>
            <w:vAlign w:val="top"/>
          </w:tcPr>
          <w:p>
            <w:r>
              <w:rPr>
                <w:sz w:val="16"/>
              </w:rPr>
              <w:t>External integration failure rate</w:t>
            </w:r>
          </w:p>
        </w:tc>
        <w:tc>
          <w:tcPr>
            <w:tcW w:type="dxa" w:w="2556"/>
            <w:vAlign w:val="top"/>
          </w:tcPr>
          <w:p>
            <w:r>
              <w:rPr>
                <w:sz w:val="16"/>
              </w:rPr>
              <w:t>New baseline</w:t>
            </w:r>
          </w:p>
        </w:tc>
        <w:tc>
          <w:tcPr>
            <w:tcW w:type="dxa" w:w="2556"/>
            <w:vAlign w:val="top"/>
          </w:tcPr>
          <w:p>
            <w:r>
              <w:rPr>
                <w:sz w:val="16"/>
              </w:rPr>
              <w:t>↓</w:t>
            </w:r>
          </w:p>
        </w:tc>
        <w:tc>
          <w:tcPr>
            <w:tcW w:type="dxa" w:w="2556"/>
            <w:vAlign w:val="top"/>
          </w:tcPr>
          <w:p>
            <w:r>
              <w:rPr>
                <w:sz w:val="16"/>
              </w:rPr>
              <w:t>Integration telemetry</w:t>
            </w:r>
          </w:p>
        </w:tc>
      </w:tr>
      <w:tr>
        <w:tc>
          <w:tcPr>
            <w:tcW w:type="dxa" w:w="2556"/>
            <w:vAlign w:val="top"/>
          </w:tcPr>
          <w:p>
            <w:r>
              <w:rPr>
                <w:sz w:val="16"/>
              </w:rPr>
              <w:t>Stale facility-data rate</w:t>
            </w:r>
          </w:p>
        </w:tc>
        <w:tc>
          <w:tcPr>
            <w:tcW w:type="dxa" w:w="2556"/>
            <w:vAlign w:val="top"/>
          </w:tcPr>
          <w:p>
            <w:r>
              <w:rPr>
                <w:sz w:val="16"/>
              </w:rPr>
              <w:t>New baseline</w:t>
            </w:r>
          </w:p>
        </w:tc>
        <w:tc>
          <w:tcPr>
            <w:tcW w:type="dxa" w:w="2556"/>
            <w:vAlign w:val="top"/>
          </w:tcPr>
          <w:p>
            <w:r>
              <w:rPr>
                <w:sz w:val="16"/>
              </w:rPr>
              <w:t>↓</w:t>
            </w:r>
          </w:p>
        </w:tc>
        <w:tc>
          <w:tcPr>
            <w:tcW w:type="dxa" w:w="2556"/>
            <w:vAlign w:val="top"/>
          </w:tcPr>
          <w:p>
            <w:r>
              <w:rPr>
                <w:sz w:val="16"/>
              </w:rPr>
              <w:t>Freshness audit</w:t>
            </w:r>
          </w:p>
        </w:tc>
      </w:tr>
      <w:tr>
        <w:tc>
          <w:tcPr>
            <w:tcW w:type="dxa" w:w="2556"/>
            <w:vAlign w:val="top"/>
          </w:tcPr>
          <w:p>
            <w:r>
              <w:rPr>
                <w:sz w:val="16"/>
              </w:rPr>
              <w:t>Unnecessary referral rate</w:t>
            </w:r>
          </w:p>
        </w:tc>
        <w:tc>
          <w:tcPr>
            <w:tcW w:type="dxa" w:w="2556"/>
            <w:vAlign w:val="top"/>
          </w:tcPr>
          <w:p>
            <w:r>
              <w:rPr>
                <w:sz w:val="16"/>
              </w:rPr>
              <w:t>Clinical audit</w:t>
            </w:r>
          </w:p>
        </w:tc>
        <w:tc>
          <w:tcPr>
            <w:tcW w:type="dxa" w:w="2556"/>
            <w:vAlign w:val="top"/>
          </w:tcPr>
          <w:p>
            <w:r>
              <w:rPr>
                <w:sz w:val="16"/>
              </w:rPr>
              <w:t>↓ safely</w:t>
            </w:r>
          </w:p>
        </w:tc>
        <w:tc>
          <w:tcPr>
            <w:tcW w:type="dxa" w:w="2556"/>
            <w:vAlign w:val="top"/>
          </w:tcPr>
          <w:p>
            <w:r>
              <w:rPr>
                <w:sz w:val="16"/>
              </w:rPr>
              <w:t>Independent clinical review</w:t>
            </w:r>
          </w:p>
        </w:tc>
      </w:tr>
      <w:tr>
        <w:tc>
          <w:tcPr>
            <w:tcW w:type="dxa" w:w="2556"/>
            <w:vAlign w:val="top"/>
          </w:tcPr>
          <w:p>
            <w:r>
              <w:rPr>
                <w:sz w:val="16"/>
              </w:rPr>
              <w:t>Equity gap</w:t>
            </w:r>
          </w:p>
        </w:tc>
        <w:tc>
          <w:tcPr>
            <w:tcW w:type="dxa" w:w="2556"/>
            <w:vAlign w:val="top"/>
          </w:tcPr>
          <w:p>
            <w:r>
              <w:rPr>
                <w:sz w:val="16"/>
              </w:rPr>
              <w:t>Baseline by geography</w:t>
            </w:r>
          </w:p>
        </w:tc>
        <w:tc>
          <w:tcPr>
            <w:tcW w:type="dxa" w:w="2556"/>
            <w:vAlign w:val="top"/>
          </w:tcPr>
          <w:p>
            <w:r>
              <w:rPr>
                <w:sz w:val="16"/>
              </w:rPr>
              <w:t>↓</w:t>
            </w:r>
          </w:p>
        </w:tc>
        <w:tc>
          <w:tcPr>
            <w:tcW w:type="dxa" w:w="2556"/>
            <w:vAlign w:val="top"/>
          </w:tcPr>
          <w:p>
            <w:r>
              <w:rPr>
                <w:sz w:val="16"/>
              </w:rPr>
              <w:t>Disaggregated analytics</w:t>
            </w:r>
          </w:p>
        </w:tc>
      </w:tr>
    </w:tbl>
    <w:p/>
    <w:p>
      <w:pPr>
        <w:pStyle w:val="Heading1"/>
      </w:pPr>
      <w:r>
        <w:t>22. Research limitations</w:t>
      </w:r>
    </w:p>
    <w:p>
      <w:pPr>
        <w:pStyle w:val="ListBullet"/>
      </w:pPr>
      <w:r>
        <w:t>Digital-health evidence is heterogeneous; strong telemedicine evidence does not automatically prove that every orchestration feature will improve clinical outcomes.</w:t>
      </w:r>
    </w:p>
    <w:p>
      <w:pPr>
        <w:pStyle w:val="ListBullet"/>
      </w:pPr>
      <w:r>
        <w:t>Many government integrations are authorization- and state-dependent, so technical feasibility is not equivalent to immediate production access.</w:t>
      </w:r>
    </w:p>
    <w:p>
      <w:pPr>
        <w:pStyle w:val="ListBullet"/>
      </w:pPr>
      <w:r>
        <w:t>Operational capability data can become stale; a registry entry should not be treated as real-time availability.</w:t>
      </w:r>
    </w:p>
    <w:p>
      <w:pPr>
        <w:pStyle w:val="ListBullet"/>
      </w:pPr>
      <w:r>
        <w:t>AI performance and clinical safety must be validated on local data and workflows before any patient-impacting automation.</w:t>
      </w:r>
    </w:p>
    <w:p>
      <w:pPr>
        <w:pStyle w:val="ListBullet"/>
      </w:pPr>
      <w:r>
        <w:t>Referral reduction can be harmful if optimized as a volume metric; safety and appropriate-care indicators must be co-primary measures.</w:t>
      </w:r>
    </w:p>
    <w:p>
      <w:pPr>
        <w:pStyle w:val="Heading1"/>
      </w:pPr>
      <w:r>
        <w:t>23. Sources / evidence base</w:t>
      </w:r>
    </w:p>
    <w:p>
      <w:pPr>
        <w:pStyle w:val="ListBullet"/>
      </w:pPr>
      <w:r>
        <w:rPr>
          <w:sz w:val="17"/>
        </w:rPr>
        <w:t>National Health Authority. ABDM FAQ and ecosystem documentation. https://abdm.gov.in/faqs</w:t>
      </w:r>
    </w:p>
    <w:p>
      <w:pPr>
        <w:pStyle w:val="ListBullet"/>
      </w:pPr>
      <w:r>
        <w:rPr>
          <w:sz w:val="17"/>
        </w:rPr>
        <w:t>National Health Authority. UHI / collaborative development and integration material. https://abdm.gov.in/collaborative-development</w:t>
      </w:r>
    </w:p>
    <w:p>
      <w:pPr>
        <w:pStyle w:val="ListBullet"/>
      </w:pPr>
      <w:r>
        <w:rPr>
          <w:sz w:val="17"/>
        </w:rPr>
        <w:t>National Health Authority. UHI Hackathon / transaction-flow examples. https://abdm.gov.in/hackathon</w:t>
      </w:r>
    </w:p>
    <w:p>
      <w:pPr>
        <w:pStyle w:val="ListBullet"/>
      </w:pPr>
      <w:r>
        <w:rPr>
          <w:sz w:val="17"/>
        </w:rPr>
        <w:t>National Health Authority. Health Facility Registry. https://abdm.gov.in/health-facilities</w:t>
      </w:r>
    </w:p>
    <w:p>
      <w:pPr>
        <w:pStyle w:val="ListBullet"/>
      </w:pPr>
      <w:r>
        <w:rPr>
          <w:sz w:val="17"/>
        </w:rPr>
        <w:t>MoHFW. Final Printed English Annual Report 2024–25. https://www.mohfw.gov.in/</w:t>
      </w:r>
    </w:p>
    <w:p>
      <w:pPr>
        <w:pStyle w:val="ListBullet"/>
      </w:pPr>
      <w:r>
        <w:rPr>
          <w:sz w:val="17"/>
        </w:rPr>
        <w:t>NHM. 16th Common Review Mission Report 2024. https://nhm.gov.in/New-Update-2024-26/CRM/16th_CRM_Report_2024.pdf</w:t>
      </w:r>
    </w:p>
    <w:p>
      <w:pPr>
        <w:pStyle w:val="ListBullet"/>
      </w:pPr>
      <w:r>
        <w:rPr>
          <w:sz w:val="17"/>
        </w:rPr>
        <w:t>NHM. 17th Common Review Mission 2025. https://nhm.gov.in/New-Update-2024-26/CRM/17th-CRM-2025.pdf</w:t>
      </w:r>
    </w:p>
    <w:p>
      <w:pPr>
        <w:pStyle w:val="ListBullet"/>
      </w:pPr>
      <w:r>
        <w:rPr>
          <w:sz w:val="17"/>
        </w:rPr>
        <w:t>National Resource Center for EHR Standards. ABDM FHIR Implementation Guide, R4. https://www.nrces.in/ndhm/fhir/r4/</w:t>
      </w:r>
    </w:p>
    <w:p>
      <w:pPr>
        <w:pStyle w:val="ListBullet"/>
      </w:pPr>
      <w:r>
        <w:rPr>
          <w:sz w:val="17"/>
        </w:rPr>
        <w:t>Rural chronic-kidney-disease referral study, India. https://pmc.ncbi.nlm.nih.gov/articles/PMC6988353/</w:t>
      </w:r>
    </w:p>
    <w:p>
      <w:pPr>
        <w:pStyle w:val="ListBullet"/>
      </w:pPr>
      <w:r>
        <w:rPr>
          <w:sz w:val="17"/>
        </w:rPr>
        <w:t>Digital referral and linkage review. https://pmc.ncbi.nlm.nih.gov/articles/PMC12646189/</w:t>
      </w:r>
    </w:p>
    <w:p>
      <w:pPr>
        <w:pStyle w:val="ListBullet"/>
      </w:pPr>
      <w:r>
        <w:rPr>
          <w:sz w:val="17"/>
        </w:rPr>
        <w:t>Tamil Nadu hospital referral quality-improvement study. https://pmc.ncbi.nlm.nih.gov/articles/PMC11416191/</w:t>
      </w:r>
    </w:p>
    <w:p>
      <w:pPr>
        <w:pStyle w:val="ListBullet"/>
      </w:pPr>
      <w:r>
        <w:rPr>
          <w:sz w:val="17"/>
        </w:rPr>
        <w:t>Umbrella review of digital health interventions in low- and lower-middle-income countries. https://pmc.ncbi.nlm.nih.gov/articles/PMC12223456/</w:t>
      </w:r>
    </w:p>
    <w:p>
      <w:pPr>
        <w:pStyle w:val="ListBullet"/>
      </w:pPr>
      <w:r>
        <w:rPr>
          <w:sz w:val="17"/>
        </w:rPr>
        <w:t>Indian frontline digital workload study. https://pmc.ncbi.nlm.nih.gov/articles/PMC13440629/</w:t>
      </w:r>
    </w:p>
    <w:p>
      <w:pPr>
        <w:pStyle w:val="Heading1"/>
      </w:pPr>
      <w:r>
        <w:t>24. Final product implication</w:t>
      </w:r>
    </w:p>
    <w:p>
      <w:r>
        <w:t>The added-advantage research strengthens the product boundary: the platform should not attempt to own every health record or every government transaction. Its defensible role is to own the care journey, the operational tasks, the referral state, the coordination logic, the escalation timers and the evidence of completion. Existing systems remain authoritative for their domains. This separation makes the concept safer, less duplicative and more scalable.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