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Phase 5 — Implementation Feasibility, Risk &amp; Governance</w:t>
      </w:r>
    </w:p>
    <w:p>
      <w:pPr>
        <w:jc w:val="center"/>
      </w:pPr>
      <w:r>
        <w:rPr>
          <w:sz w:val="26"/>
        </w:rPr>
        <w:t>Rural Healthcare Access &amp; Continuity Orchestration Platform — India</w:t>
      </w:r>
    </w:p>
    <w:p>
      <w:pPr>
        <w:jc w:val="center"/>
      </w:pPr>
      <w:r>
        <w:rPr>
          <w:i/>
        </w:rPr>
        <w:t>Production-oriented assessment for Tamil Nadu and Maharashtra</w:t>
      </w:r>
    </w:p>
    <w:p>
      <w:r>
        <w:t>Purpose. This phase evaluates whether the proposed orchestration layer can be deployed responsibly on top of India’s existing digital-health ecosystem, and what technical, clinical, legal, security, operational and procurement controls are required.</w:t>
      </w:r>
    </w:p>
    <w:p>
      <w:r>
        <w:t>Status note. This is an implementation feasibility assessment, not legal advice or a government approval. Exact production interfaces, access credentials, state contracts and facility integrations must be confirmed with the relevant authorities before deployment.</w:t>
      </w:r>
    </w:p>
    <w:p>
      <w:pPr>
        <w:pStyle w:val="Heading1"/>
      </w:pPr>
      <w:r>
        <w:t>1. Executive conclusion</w:t>
      </w:r>
    </w:p>
    <w:p>
      <w:r>
        <w:t>The proposed platform is feasible as a coordination and decision-support layer, provided it does not replace the systems of record already owned by national programmes, states or facilities. The most defensible architecture is federated: ABDM supplies identity, consent and interoperability foundations; UHI can provide service-discovery/transaction patterns where available; existing programme and facility systems remain authoritative for their domains; and the new platform owns only care-journey state, orchestration tasks, referral closure, operational analytics and selected derived workflow data.</w:t>
      </w:r>
    </w:p>
    <w:p>
      <w:r>
        <w:t>ABDM itself states that India needs an open interoperable ecosystem rather than a single mandated digital-health application because many providers already use different systems. It also requires sandbox integration, functional testing and security assessment before an integrating solution enters production. (NHA ABDM FAQ.)</w:t>
      </w:r>
    </w:p>
    <w:p>
      <w:r>
        <w:t>The largest implementation risks are not UI development. They are: obtaining authorized production access to interfaces; state/facility variation; privacy and consent design; cybersecurity; clinical responsibility for triage/AI; offline synchronization; workflow adoption by frontline staff; data-quality/provenance; and procurement/governance across government entities.</w:t>
      </w:r>
    </w:p>
    <w:p>
      <w:pPr>
        <w:pStyle w:val="Heading1"/>
      </w:pPr>
      <w:r>
        <w:t>2. Current regulatory and policy context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sz w:val="16"/>
              </w:rPr>
              <w:t>Framework</w:t>
            </w:r>
          </w:p>
        </w:tc>
        <w:tc>
          <w:tcPr>
            <w:tcW w:type="dxa" w:w="2520"/>
            <w:shd w:fill="EDEDED"/>
            <w:vAlign w:val="center"/>
          </w:tcPr>
          <w:p>
            <w:r>
              <w:rPr>
                <w:b/>
                <w:sz w:val="16"/>
              </w:rPr>
              <w:t>What it governs</w:t>
            </w:r>
          </w:p>
        </w:tc>
        <w:tc>
          <w:tcPr>
            <w:tcW w:type="dxa" w:w="2520"/>
            <w:shd w:fill="EDEDED"/>
            <w:vAlign w:val="center"/>
          </w:tcPr>
          <w:p>
            <w:r>
              <w:rPr>
                <w:b/>
                <w:sz w:val="16"/>
              </w:rPr>
              <w:t>Current status / evidence</w:t>
            </w:r>
          </w:p>
        </w:tc>
        <w:tc>
          <w:tcPr>
            <w:tcW w:type="dxa" w:w="2520"/>
            <w:shd w:fill="EDEDED"/>
            <w:vAlign w:val="center"/>
          </w:tcPr>
          <w:p>
            <w:r>
              <w:rPr>
                <w:b/>
                <w:sz w:val="16"/>
              </w:rPr>
              <w:t>Design implication</w:t>
            </w:r>
          </w:p>
        </w:tc>
      </w:tr>
      <w:tr>
        <w:tc>
          <w:tcPr>
            <w:tcW w:type="dxa" w:w="2520"/>
            <w:vAlign w:val="top"/>
          </w:tcPr>
          <w:p>
            <w:r>
              <w:rPr>
                <w:sz w:val="15"/>
              </w:rPr>
              <w:t>DPDP Act / 2025 Rules</w:t>
            </w:r>
          </w:p>
        </w:tc>
        <w:tc>
          <w:tcPr>
            <w:tcW w:type="dxa" w:w="2520"/>
            <w:vAlign w:val="top"/>
          </w:tcPr>
          <w:p>
            <w:r>
              <w:rPr>
                <w:sz w:val="15"/>
              </w:rPr>
              <w:t>Digital personal-data processing framework</w:t>
            </w:r>
          </w:p>
        </w:tc>
        <w:tc>
          <w:tcPr>
            <w:tcW w:type="dxa" w:w="2520"/>
            <w:vAlign w:val="top"/>
          </w:tcPr>
          <w:p>
            <w:r>
              <w:rPr>
                <w:sz w:val="15"/>
              </w:rPr>
              <w:t>Rules notified 13 Nov 2025 with phased commencement; some provisions effective on notification, rule 4 after 1 year, rules 3,5–16,22,23 after 18 months</w:t>
            </w:r>
          </w:p>
        </w:tc>
        <w:tc>
          <w:tcPr>
            <w:tcW w:type="dxa" w:w="2520"/>
            <w:vAlign w:val="top"/>
          </w:tcPr>
          <w:p>
            <w:r>
              <w:rPr>
                <w:sz w:val="15"/>
              </w:rPr>
              <w:t>Design for compliance now; verify which duties are in force on deployment date</w:t>
            </w:r>
          </w:p>
        </w:tc>
      </w:tr>
      <w:tr>
        <w:tc>
          <w:tcPr>
            <w:tcW w:type="dxa" w:w="2520"/>
            <w:vAlign w:val="top"/>
          </w:tcPr>
          <w:p>
            <w:r>
              <w:rPr>
                <w:sz w:val="15"/>
              </w:rPr>
              <w:t>Data Protection Board of India</w:t>
            </w:r>
          </w:p>
        </w:tc>
        <w:tc>
          <w:tcPr>
            <w:tcW w:type="dxa" w:w="2520"/>
            <w:vAlign w:val="top"/>
          </w:tcPr>
          <w:p>
            <w:r>
              <w:rPr>
                <w:sz w:val="15"/>
              </w:rPr>
              <w:t>Statutory adjudicatory body under DPDP Act</w:t>
            </w:r>
          </w:p>
        </w:tc>
        <w:tc>
          <w:tcPr>
            <w:tcW w:type="dxa" w:w="2520"/>
            <w:vAlign w:val="top"/>
          </w:tcPr>
          <w:p>
            <w:r>
              <w:rPr>
                <w:sz w:val="15"/>
              </w:rPr>
              <w:t>Established by Gazette notification 13 Nov 2025</w:t>
            </w:r>
          </w:p>
        </w:tc>
        <w:tc>
          <w:tcPr>
            <w:tcW w:type="dxa" w:w="2520"/>
            <w:vAlign w:val="top"/>
          </w:tcPr>
          <w:p>
            <w:r>
              <w:rPr>
                <w:sz w:val="15"/>
              </w:rPr>
              <w:t>Governance/escalation model must account for Board regime</w:t>
            </w:r>
          </w:p>
        </w:tc>
      </w:tr>
      <w:tr>
        <w:tc>
          <w:tcPr>
            <w:tcW w:type="dxa" w:w="2520"/>
            <w:vAlign w:val="top"/>
          </w:tcPr>
          <w:p>
            <w:r>
              <w:rPr>
                <w:sz w:val="15"/>
              </w:rPr>
              <w:t>ABDM Health Data Management Policy</w:t>
            </w:r>
          </w:p>
        </w:tc>
        <w:tc>
          <w:tcPr>
            <w:tcW w:type="dxa" w:w="2520"/>
            <w:vAlign w:val="top"/>
          </w:tcPr>
          <w:p>
            <w:r>
              <w:rPr>
                <w:sz w:val="15"/>
              </w:rPr>
              <w:t>Health-data privacy/security architecture</w:t>
            </w:r>
          </w:p>
        </w:tc>
        <w:tc>
          <w:tcPr>
            <w:tcW w:type="dxa" w:w="2520"/>
            <w:vAlign w:val="top"/>
          </w:tcPr>
          <w:p>
            <w:r>
              <w:rPr>
                <w:sz w:val="15"/>
              </w:rPr>
              <w:t>Federated architecture + consent-based exchange + security/privacy by design</w:t>
            </w:r>
          </w:p>
        </w:tc>
        <w:tc>
          <w:tcPr>
            <w:tcW w:type="dxa" w:w="2520"/>
            <w:vAlign w:val="top"/>
          </w:tcPr>
          <w:p>
            <w:r>
              <w:rPr>
                <w:sz w:val="15"/>
              </w:rPr>
              <w:t>Use consent, purpose limitation, provenance and auditability</w:t>
            </w:r>
          </w:p>
        </w:tc>
      </w:tr>
      <w:tr>
        <w:tc>
          <w:tcPr>
            <w:tcW w:type="dxa" w:w="2520"/>
            <w:vAlign w:val="top"/>
          </w:tcPr>
          <w:p>
            <w:r>
              <w:rPr>
                <w:sz w:val="15"/>
              </w:rPr>
              <w:t>ABDM Sandbox / certification</w:t>
            </w:r>
          </w:p>
        </w:tc>
        <w:tc>
          <w:tcPr>
            <w:tcW w:type="dxa" w:w="2520"/>
            <w:vAlign w:val="top"/>
          </w:tcPr>
          <w:p>
            <w:r>
              <w:rPr>
                <w:sz w:val="15"/>
              </w:rPr>
              <w:t>Production onboarding control</w:t>
            </w:r>
          </w:p>
        </w:tc>
        <w:tc>
          <w:tcPr>
            <w:tcW w:type="dxa" w:w="2520"/>
            <w:vAlign w:val="top"/>
          </w:tcPr>
          <w:p>
            <w:r>
              <w:rPr>
                <w:sz w:val="15"/>
              </w:rPr>
              <w:t>Functional testing + security assessment + exit documentation before production</w:t>
            </w:r>
          </w:p>
        </w:tc>
        <w:tc>
          <w:tcPr>
            <w:tcW w:type="dxa" w:w="2520"/>
            <w:vAlign w:val="top"/>
          </w:tcPr>
          <w:p>
            <w:r>
              <w:rPr>
                <w:sz w:val="15"/>
              </w:rPr>
              <w:t>Treat certification/onboarding as project workstream</w:t>
            </w:r>
          </w:p>
        </w:tc>
      </w:tr>
      <w:tr>
        <w:tc>
          <w:tcPr>
            <w:tcW w:type="dxa" w:w="2520"/>
            <w:vAlign w:val="top"/>
          </w:tcPr>
          <w:p>
            <w:r>
              <w:rPr>
                <w:sz w:val="15"/>
              </w:rPr>
              <w:t>FHIR / ABDM IG</w:t>
            </w:r>
          </w:p>
        </w:tc>
        <w:tc>
          <w:tcPr>
            <w:tcW w:type="dxa" w:w="2520"/>
            <w:vAlign w:val="top"/>
          </w:tcPr>
          <w:p>
            <w:r>
              <w:rPr>
                <w:sz w:val="15"/>
              </w:rPr>
              <w:t>Clinical interoperability semantics</w:t>
            </w:r>
          </w:p>
        </w:tc>
        <w:tc>
          <w:tcPr>
            <w:tcW w:type="dxa" w:w="2520"/>
            <w:vAlign w:val="top"/>
          </w:tcPr>
          <w:p>
            <w:r>
              <w:rPr>
                <w:sz w:val="15"/>
              </w:rPr>
              <w:t>Published ABDM IG v6.5.0 is based on HL7 FHIR R4 / 4.0.1</w:t>
            </w:r>
          </w:p>
        </w:tc>
        <w:tc>
          <w:tcPr>
            <w:tcW w:type="dxa" w:w="2520"/>
            <w:vAlign w:val="top"/>
          </w:tcPr>
          <w:p>
            <w:r>
              <w:rPr>
                <w:sz w:val="15"/>
              </w:rPr>
              <w:t>Pin an approved version and validate conformance</w:t>
            </w:r>
          </w:p>
        </w:tc>
      </w:tr>
      <w:tr>
        <w:tc>
          <w:tcPr>
            <w:tcW w:type="dxa" w:w="2520"/>
            <w:vAlign w:val="top"/>
          </w:tcPr>
          <w:p>
            <w:r>
              <w:rPr>
                <w:sz w:val="15"/>
              </w:rPr>
              <w:t>Telemedicine Practice Guidelines</w:t>
            </w:r>
          </w:p>
        </w:tc>
        <w:tc>
          <w:tcPr>
            <w:tcW w:type="dxa" w:w="2520"/>
            <w:vAlign w:val="top"/>
          </w:tcPr>
          <w:p>
            <w:r>
              <w:rPr>
                <w:sz w:val="15"/>
              </w:rPr>
              <w:t>Clinical/telemedicine conduct</w:t>
            </w:r>
          </w:p>
        </w:tc>
        <w:tc>
          <w:tcPr>
            <w:tcW w:type="dxa" w:w="2520"/>
            <w:vAlign w:val="top"/>
          </w:tcPr>
          <w:p>
            <w:r>
              <w:rPr>
                <w:sz w:val="15"/>
              </w:rPr>
              <w:t>RMP-led telemedicine framework</w:t>
            </w:r>
          </w:p>
        </w:tc>
        <w:tc>
          <w:tcPr>
            <w:tcW w:type="dxa" w:w="2520"/>
            <w:vAlign w:val="top"/>
          </w:tcPr>
          <w:p>
            <w:r>
              <w:rPr>
                <w:sz w:val="15"/>
              </w:rPr>
              <w:t>Do not make AI the clinician of record</w:t>
            </w:r>
          </w:p>
        </w:tc>
      </w:tr>
      <w:tr>
        <w:tc>
          <w:tcPr>
            <w:tcW w:type="dxa" w:w="2520"/>
            <w:vAlign w:val="top"/>
          </w:tcPr>
          <w:p>
            <w:r>
              <w:rPr>
                <w:sz w:val="15"/>
              </w:rPr>
              <w:t>CERT-In Directions</w:t>
            </w:r>
          </w:p>
        </w:tc>
        <w:tc>
          <w:tcPr>
            <w:tcW w:type="dxa" w:w="2520"/>
            <w:vAlign w:val="top"/>
          </w:tcPr>
          <w:p>
            <w:r>
              <w:rPr>
                <w:sz w:val="15"/>
              </w:rPr>
              <w:t>Cyber incident reporting and security operations</w:t>
            </w:r>
          </w:p>
        </w:tc>
        <w:tc>
          <w:tcPr>
            <w:tcW w:type="dxa" w:w="2520"/>
            <w:vAlign w:val="top"/>
          </w:tcPr>
          <w:p>
            <w:r>
              <w:rPr>
                <w:sz w:val="15"/>
              </w:rPr>
              <w:t>Cyber incidents in scope must be reported within 6 hours under current directions</w:t>
            </w:r>
          </w:p>
        </w:tc>
        <w:tc>
          <w:tcPr>
            <w:tcW w:type="dxa" w:w="2520"/>
            <w:vAlign w:val="top"/>
          </w:tcPr>
          <w:p>
            <w:r>
              <w:rPr>
                <w:sz w:val="15"/>
              </w:rPr>
              <w:t>Implement SOC/IRP/logging/clock sync/incident escalation</w:t>
            </w:r>
          </w:p>
        </w:tc>
      </w:tr>
      <w:tr>
        <w:tc>
          <w:tcPr>
            <w:tcW w:type="dxa" w:w="2520"/>
            <w:vAlign w:val="top"/>
          </w:tcPr>
          <w:p>
            <w:r>
              <w:rPr>
                <w:sz w:val="15"/>
              </w:rPr>
              <w:t>Medical Devices Rules</w:t>
            </w:r>
          </w:p>
        </w:tc>
        <w:tc>
          <w:tcPr>
            <w:tcW w:type="dxa" w:w="2520"/>
            <w:vAlign w:val="top"/>
          </w:tcPr>
          <w:p>
            <w:r>
              <w:rPr>
                <w:sz w:val="15"/>
              </w:rPr>
              <w:t>SaMD/SiMD boundary</w:t>
            </w:r>
          </w:p>
        </w:tc>
        <w:tc>
          <w:tcPr>
            <w:tcW w:type="dxa" w:w="2520"/>
            <w:vAlign w:val="top"/>
          </w:tcPr>
          <w:p>
            <w:r>
              <w:rPr>
                <w:sz w:val="15"/>
              </w:rPr>
              <w:t>Healthcare software is not automatically a medical device; software with medical-device intended use can fall under MDR</w:t>
            </w:r>
          </w:p>
        </w:tc>
        <w:tc>
          <w:tcPr>
            <w:tcW w:type="dxa" w:w="2520"/>
            <w:vAlign w:val="top"/>
          </w:tcPr>
          <w:p>
            <w:r>
              <w:rPr>
                <w:sz w:val="15"/>
              </w:rPr>
              <w:t>Keep MVP focused on navigation/coordination or seek CDSCO assessment before clinical-device claims</w:t>
            </w:r>
          </w:p>
        </w:tc>
      </w:tr>
      <w:tr>
        <w:tc>
          <w:tcPr>
            <w:tcW w:type="dxa" w:w="2520"/>
            <w:vAlign w:val="top"/>
          </w:tcPr>
          <w:p>
            <w:r>
              <w:rPr>
                <w:sz w:val="15"/>
              </w:rPr>
              <w:t>Clinical Establishments framework</w:t>
            </w:r>
          </w:p>
        </w:tc>
        <w:tc>
          <w:tcPr>
            <w:tcW w:type="dxa" w:w="2520"/>
            <w:vAlign w:val="top"/>
          </w:tcPr>
          <w:p>
            <w:r>
              <w:rPr>
                <w:sz w:val="15"/>
              </w:rPr>
              <w:t>Facility standards and records</w:t>
            </w:r>
          </w:p>
        </w:tc>
        <w:tc>
          <w:tcPr>
            <w:tcW w:type="dxa" w:w="2520"/>
            <w:vAlign w:val="top"/>
          </w:tcPr>
          <w:p>
            <w:r>
              <w:rPr>
                <w:sz w:val="15"/>
              </w:rPr>
              <w:t>CEA is not uniformly adopted across all states; state-specific regimes matter</w:t>
            </w:r>
          </w:p>
        </w:tc>
        <w:tc>
          <w:tcPr>
            <w:tcW w:type="dxa" w:w="2520"/>
            <w:vAlign w:val="top"/>
          </w:tcPr>
          <w:p>
            <w:r>
              <w:rPr>
                <w:sz w:val="15"/>
              </w:rPr>
              <w:t>Check state/facility legal basis rather than assuming central CEA applies</w:t>
            </w:r>
          </w:p>
        </w:tc>
      </w:tr>
    </w:tbl>
    <w:p/>
    <w:p>
      <w:r>
        <w:t>As of 13 September 2026, the DPDP Rules have been notified and the enforcement schedule is phased. The Gazette states rule 4 begins one year after 13 November 2025, while rules 3, 5–16, 22 and 23 begin 18 months after that date. Thus, full operational compliance should be planned ahead of the May 2027 milestone, even if a particular pilot begins earlier.</w:t>
      </w:r>
    </w:p>
    <w:p>
      <w:pPr>
        <w:pStyle w:val="Heading1"/>
      </w:pPr>
      <w:r>
        <w:t>3. DPDP / privacy-by-design implementation</w:t>
      </w:r>
    </w:p>
    <w:p>
      <w:r>
        <w:t>The platform will process personal and health-related data, so privacy must be embedded in architecture rather than added to the UI later. The 2025 Rules specify security safeguards such as encryption, access control, monitoring and backups; the explanatory note also describes breach notification, logs, data minimization, accuracy and retention concepts. ABDM’s own privacy policy requires data minimization, consent, encryption where appropriate, audit trails and user rights such as access/correction/erasure/withdrawal, subject to applicable law.</w:t>
      </w:r>
    </w:p>
    <w:p>
      <w:pPr>
        <w:pStyle w:val="Heading2"/>
      </w:pPr>
      <w:r>
        <w:t>3.1 Data-role model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sz w:val="16"/>
              </w:rPr>
              <w:t>Component</w:t>
            </w:r>
          </w:p>
        </w:tc>
        <w:tc>
          <w:tcPr>
            <w:tcW w:type="dxa" w:w="2520"/>
            <w:shd w:fill="EDEDED"/>
            <w:vAlign w:val="center"/>
          </w:tcPr>
          <w:p>
            <w:r>
              <w:rPr>
                <w:b/>
                <w:sz w:val="16"/>
              </w:rPr>
              <w:t>Likely role</w:t>
            </w:r>
          </w:p>
        </w:tc>
        <w:tc>
          <w:tcPr>
            <w:tcW w:type="dxa" w:w="2520"/>
            <w:shd w:fill="EDEDED"/>
            <w:vAlign w:val="center"/>
          </w:tcPr>
          <w:p>
            <w:r>
              <w:rPr>
                <w:b/>
                <w:sz w:val="16"/>
              </w:rPr>
              <w:t>Data it should hold</w:t>
            </w:r>
          </w:p>
        </w:tc>
        <w:tc>
          <w:tcPr>
            <w:tcW w:type="dxa" w:w="2520"/>
            <w:shd w:fill="EDEDED"/>
            <w:vAlign w:val="center"/>
          </w:tcPr>
          <w:p>
            <w:r>
              <w:rPr>
                <w:b/>
                <w:sz w:val="16"/>
              </w:rPr>
              <w:t>Control principle</w:t>
            </w:r>
          </w:p>
        </w:tc>
      </w:tr>
      <w:tr>
        <w:tc>
          <w:tcPr>
            <w:tcW w:type="dxa" w:w="2520"/>
            <w:vAlign w:val="top"/>
          </w:tcPr>
          <w:p>
            <w:r>
              <w:rPr>
                <w:sz w:val="15"/>
              </w:rPr>
              <w:t>State/central programme system</w:t>
            </w:r>
          </w:p>
        </w:tc>
        <w:tc>
          <w:tcPr>
            <w:tcW w:type="dxa" w:w="2520"/>
            <w:vAlign w:val="top"/>
          </w:tcPr>
          <w:p>
            <w:r>
              <w:rPr>
                <w:sz w:val="15"/>
              </w:rPr>
              <w:t>System of record / data fiduciary as applicable</w:t>
            </w:r>
          </w:p>
        </w:tc>
        <w:tc>
          <w:tcPr>
            <w:tcW w:type="dxa" w:w="2520"/>
            <w:vAlign w:val="top"/>
          </w:tcPr>
          <w:p>
            <w:r>
              <w:rPr>
                <w:sz w:val="15"/>
              </w:rPr>
              <w:t>Programme-specific clinical/beneficiary records</w:t>
            </w:r>
          </w:p>
        </w:tc>
        <w:tc>
          <w:tcPr>
            <w:tcW w:type="dxa" w:w="2520"/>
            <w:vAlign w:val="top"/>
          </w:tcPr>
          <w:p>
            <w:r>
              <w:rPr>
                <w:sz w:val="15"/>
              </w:rPr>
              <w:t>Do not copy unless necessary and authorized</w:t>
            </w:r>
          </w:p>
        </w:tc>
      </w:tr>
      <w:tr>
        <w:tc>
          <w:tcPr>
            <w:tcW w:type="dxa" w:w="2520"/>
            <w:vAlign w:val="top"/>
          </w:tcPr>
          <w:p>
            <w:r>
              <w:rPr>
                <w:sz w:val="15"/>
              </w:rPr>
              <w:t>Hospital HIS/LIS/Pharmacy</w:t>
            </w:r>
          </w:p>
        </w:tc>
        <w:tc>
          <w:tcPr>
            <w:tcW w:type="dxa" w:w="2520"/>
            <w:vAlign w:val="top"/>
          </w:tcPr>
          <w:p>
            <w:r>
              <w:rPr>
                <w:sz w:val="15"/>
              </w:rPr>
              <w:t>System of record for facility event</w:t>
            </w:r>
          </w:p>
        </w:tc>
        <w:tc>
          <w:tcPr>
            <w:tcW w:type="dxa" w:w="2520"/>
            <w:vAlign w:val="top"/>
          </w:tcPr>
          <w:p>
            <w:r>
              <w:rPr>
                <w:sz w:val="15"/>
              </w:rPr>
              <w:t>Encounter, lab, dispensing, etc.</w:t>
            </w:r>
          </w:p>
        </w:tc>
        <w:tc>
          <w:tcPr>
            <w:tcW w:type="dxa" w:w="2520"/>
            <w:vAlign w:val="top"/>
          </w:tcPr>
          <w:p>
            <w:r>
              <w:rPr>
                <w:sz w:val="15"/>
              </w:rPr>
              <w:t>Retain source authority and provenance</w:t>
            </w:r>
          </w:p>
        </w:tc>
      </w:tr>
      <w:tr>
        <w:tc>
          <w:tcPr>
            <w:tcW w:type="dxa" w:w="2520"/>
            <w:vAlign w:val="top"/>
          </w:tcPr>
          <w:p>
            <w:r>
              <w:rPr>
                <w:sz w:val="15"/>
              </w:rPr>
              <w:t>ABDM/HIE-CM</w:t>
            </w:r>
          </w:p>
        </w:tc>
        <w:tc>
          <w:tcPr>
            <w:tcW w:type="dxa" w:w="2520"/>
            <w:vAlign w:val="top"/>
          </w:tcPr>
          <w:p>
            <w:r>
              <w:rPr>
                <w:sz w:val="15"/>
              </w:rPr>
              <w:t>Identity/consent/exchange infrastructure</w:t>
            </w:r>
          </w:p>
        </w:tc>
        <w:tc>
          <w:tcPr>
            <w:tcW w:type="dxa" w:w="2520"/>
            <w:vAlign w:val="top"/>
          </w:tcPr>
          <w:p>
            <w:r>
              <w:rPr>
                <w:sz w:val="15"/>
              </w:rPr>
              <w:t>Identity, consent and exchange artefacts</w:t>
            </w:r>
          </w:p>
        </w:tc>
        <w:tc>
          <w:tcPr>
            <w:tcW w:type="dxa" w:w="2520"/>
            <w:vAlign w:val="top"/>
          </w:tcPr>
          <w:p>
            <w:r>
              <w:rPr>
                <w:sz w:val="15"/>
              </w:rPr>
              <w:t>Use approved flows</w:t>
            </w:r>
          </w:p>
        </w:tc>
      </w:tr>
      <w:tr>
        <w:tc>
          <w:tcPr>
            <w:tcW w:type="dxa" w:w="2520"/>
            <w:vAlign w:val="top"/>
          </w:tcPr>
          <w:p>
            <w:r>
              <w:rPr>
                <w:sz w:val="15"/>
              </w:rPr>
              <w:t>Our orchestration platform</w:t>
            </w:r>
          </w:p>
        </w:tc>
        <w:tc>
          <w:tcPr>
            <w:tcW w:type="dxa" w:w="2520"/>
            <w:vAlign w:val="top"/>
          </w:tcPr>
          <w:p>
            <w:r>
              <w:rPr>
                <w:sz w:val="15"/>
              </w:rPr>
              <w:t>Data fiduciary/processor role depends on contract and use case</w:t>
            </w:r>
          </w:p>
        </w:tc>
        <w:tc>
          <w:tcPr>
            <w:tcW w:type="dxa" w:w="2520"/>
            <w:vAlign w:val="top"/>
          </w:tcPr>
          <w:p>
            <w:r>
              <w:rPr>
                <w:sz w:val="15"/>
              </w:rPr>
              <w:t>Journey state, task state, referral state, derived operational metrics, minimal clinical context</w:t>
            </w:r>
          </w:p>
        </w:tc>
        <w:tc>
          <w:tcPr>
            <w:tcW w:type="dxa" w:w="2520"/>
            <w:vAlign w:val="top"/>
          </w:tcPr>
          <w:p>
            <w:r>
              <w:rPr>
                <w:sz w:val="15"/>
              </w:rPr>
              <w:t>Minimize, purpose-bind, segregate, audit</w:t>
            </w:r>
          </w:p>
        </w:tc>
      </w:tr>
      <w:tr>
        <w:tc>
          <w:tcPr>
            <w:tcW w:type="dxa" w:w="2520"/>
            <w:vAlign w:val="top"/>
          </w:tcPr>
          <w:p>
            <w:r>
              <w:rPr>
                <w:sz w:val="15"/>
              </w:rPr>
              <w:t>Frontline mobile app</w:t>
            </w:r>
          </w:p>
        </w:tc>
        <w:tc>
          <w:tcPr>
            <w:tcW w:type="dxa" w:w="2520"/>
            <w:vAlign w:val="top"/>
          </w:tcPr>
          <w:p>
            <w:r>
              <w:rPr>
                <w:sz w:val="15"/>
              </w:rPr>
              <w:t>Controlled client of platform</w:t>
            </w:r>
          </w:p>
        </w:tc>
        <w:tc>
          <w:tcPr>
            <w:tcW w:type="dxa" w:w="2520"/>
            <w:vAlign w:val="top"/>
          </w:tcPr>
          <w:p>
            <w:r>
              <w:rPr>
                <w:sz w:val="15"/>
              </w:rPr>
              <w:t>Minimal offline working set</w:t>
            </w:r>
          </w:p>
        </w:tc>
        <w:tc>
          <w:tcPr>
            <w:tcW w:type="dxa" w:w="2520"/>
            <w:vAlign w:val="top"/>
          </w:tcPr>
          <w:p>
            <w:r>
              <w:rPr>
                <w:sz w:val="15"/>
              </w:rPr>
              <w:t>Encrypt local storage; auto-expire cached data where appropriate</w:t>
            </w:r>
          </w:p>
        </w:tc>
      </w:tr>
    </w:tbl>
    <w:p/>
    <w:p>
      <w:pPr>
        <w:pStyle w:val="Heading2"/>
      </w:pPr>
      <w:r>
        <w:t>3.2 Minimum privacy controls</w:t>
      </w:r>
    </w:p>
    <w:p>
      <w:pPr>
        <w:pStyle w:val="ListBullet"/>
      </w:pPr>
      <w:r>
        <w:t>Collect only the data required to perform the next care-coordination action.</w:t>
      </w:r>
    </w:p>
    <w:p>
      <w:pPr>
        <w:pStyle w:val="ListBullet"/>
      </w:pPr>
      <w:r>
        <w:t>Use ABHA/approved identifiers rather than inventing another national identity system.</w:t>
      </w:r>
    </w:p>
    <w:p>
      <w:pPr>
        <w:pStyle w:val="ListBullet"/>
      </w:pPr>
      <w:r>
        <w:t>Keep clinical record copies minimal; store references/provenance when possible.</w:t>
      </w:r>
    </w:p>
    <w:p>
      <w:pPr>
        <w:pStyle w:val="ListBullet"/>
      </w:pPr>
      <w:r>
        <w:t>Explicitly model consent artefacts, purpose, requester, recipient, scope, issue time, expiry/revocation and audit event.</w:t>
      </w:r>
    </w:p>
    <w:p>
      <w:pPr>
        <w:pStyle w:val="ListBullet"/>
      </w:pPr>
      <w:r>
        <w:t>Use role-based and purpose-based access: ASHA should not have unrestricted access to every hospital record.</w:t>
      </w:r>
    </w:p>
    <w:p>
      <w:pPr>
        <w:pStyle w:val="ListBullet"/>
      </w:pPr>
      <w:r>
        <w:t>Encrypt data in transit and at rest; protect offline device data with encrypted storage and secure key management.</w:t>
      </w:r>
    </w:p>
    <w:p>
      <w:pPr>
        <w:pStyle w:val="ListBullet"/>
      </w:pPr>
      <w:r>
        <w:t>Implement data-retention schedules by record type and contractual/regulatory requirement rather than one global retention period.</w:t>
      </w:r>
    </w:p>
    <w:p>
      <w:pPr>
        <w:pStyle w:val="ListBullet"/>
      </w:pPr>
      <w:r>
        <w:t>Maintain immutable/auditable access logs and administrative-action logs.</w:t>
      </w:r>
    </w:p>
    <w:p>
      <w:pPr>
        <w:pStyle w:val="ListBullet"/>
      </w:pPr>
      <w:r>
        <w:t>Provide a patient-facing/assisted mechanism for access, correction, grievance and consent withdrawal where required.</w:t>
      </w:r>
    </w:p>
    <w:p>
      <w:pPr>
        <w:pStyle w:val="ListBullet"/>
      </w:pPr>
      <w:r>
        <w:t>Run a DPIA / privacy impact assessment for high-risk processing and especially for new AI or cross-program analytics.</w:t>
      </w:r>
    </w:p>
    <w:p>
      <w:pPr>
        <w:pStyle w:val="Heading1"/>
      </w:pPr>
      <w:r>
        <w:t>4. Clinical safety and liability boundary</w:t>
      </w:r>
    </w:p>
    <w:p>
      <w:r>
        <w:t>The core platform should be positioned as operational decision support, not autonomous medical practice. The 2020 Telemedicine Practice Guidelines are intended for registered medical practitioners providing telemedicine. A proposed AI triage or recommendation capability must therefore preserve human clinical accountability. ICMR’s 2023 ethical guidelines cover AI governance, ethics review, informed consent and stakeholder responsibilities; WHO likewise emphasizes safety, equity, human rights and accountability for AI in health.</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sz w:val="16"/>
              </w:rPr>
              <w:t>Feature</w:t>
            </w:r>
          </w:p>
        </w:tc>
        <w:tc>
          <w:tcPr>
            <w:tcW w:type="dxa" w:w="2520"/>
            <w:shd w:fill="EDEDED"/>
            <w:vAlign w:val="center"/>
          </w:tcPr>
          <w:p>
            <w:r>
              <w:rPr>
                <w:b/>
                <w:sz w:val="16"/>
              </w:rPr>
              <w:t>Recommended role</w:t>
            </w:r>
          </w:p>
        </w:tc>
        <w:tc>
          <w:tcPr>
            <w:tcW w:type="dxa" w:w="2520"/>
            <w:shd w:fill="EDEDED"/>
            <w:vAlign w:val="center"/>
          </w:tcPr>
          <w:p>
            <w:r>
              <w:rPr>
                <w:b/>
                <w:sz w:val="16"/>
              </w:rPr>
              <w:t>Risk level</w:t>
            </w:r>
          </w:p>
        </w:tc>
        <w:tc>
          <w:tcPr>
            <w:tcW w:type="dxa" w:w="2520"/>
            <w:shd w:fill="EDEDED"/>
            <w:vAlign w:val="center"/>
          </w:tcPr>
          <w:p>
            <w:r>
              <w:rPr>
                <w:b/>
                <w:sz w:val="16"/>
              </w:rPr>
              <w:t>Required control</w:t>
            </w:r>
          </w:p>
        </w:tc>
      </w:tr>
      <w:tr>
        <w:tc>
          <w:tcPr>
            <w:tcW w:type="dxa" w:w="2520"/>
            <w:vAlign w:val="top"/>
          </w:tcPr>
          <w:p>
            <w:r>
              <w:rPr>
                <w:sz w:val="15"/>
              </w:rPr>
              <w:t>Symptom collection</w:t>
            </w:r>
          </w:p>
        </w:tc>
        <w:tc>
          <w:tcPr>
            <w:tcW w:type="dxa" w:w="2520"/>
            <w:vAlign w:val="top"/>
          </w:tcPr>
          <w:p>
            <w:r>
              <w:rPr>
                <w:sz w:val="15"/>
              </w:rPr>
              <w:t>Structured intake</w:t>
            </w:r>
          </w:p>
        </w:tc>
        <w:tc>
          <w:tcPr>
            <w:tcW w:type="dxa" w:w="2520"/>
            <w:vAlign w:val="top"/>
          </w:tcPr>
          <w:p>
            <w:r>
              <w:rPr>
                <w:sz w:val="15"/>
              </w:rPr>
              <w:t>Low–medium</w:t>
            </w:r>
          </w:p>
        </w:tc>
        <w:tc>
          <w:tcPr>
            <w:tcW w:type="dxa" w:w="2520"/>
            <w:vAlign w:val="top"/>
          </w:tcPr>
          <w:p>
            <w:r>
              <w:rPr>
                <w:sz w:val="15"/>
              </w:rPr>
              <w:t>Human review + clear escalation</w:t>
            </w:r>
          </w:p>
        </w:tc>
      </w:tr>
      <w:tr>
        <w:tc>
          <w:tcPr>
            <w:tcW w:type="dxa" w:w="2520"/>
            <w:vAlign w:val="top"/>
          </w:tcPr>
          <w:p>
            <w:r>
              <w:rPr>
                <w:sz w:val="15"/>
              </w:rPr>
              <w:t>Red-flag detection</w:t>
            </w:r>
          </w:p>
        </w:tc>
        <w:tc>
          <w:tcPr>
            <w:tcW w:type="dxa" w:w="2520"/>
            <w:vAlign w:val="top"/>
          </w:tcPr>
          <w:p>
            <w:r>
              <w:rPr>
                <w:sz w:val="15"/>
              </w:rPr>
              <w:t>Decision support / alert</w:t>
            </w:r>
          </w:p>
        </w:tc>
        <w:tc>
          <w:tcPr>
            <w:tcW w:type="dxa" w:w="2520"/>
            <w:vAlign w:val="top"/>
          </w:tcPr>
          <w:p>
            <w:r>
              <w:rPr>
                <w:sz w:val="15"/>
              </w:rPr>
              <w:t>High</w:t>
            </w:r>
          </w:p>
        </w:tc>
        <w:tc>
          <w:tcPr>
            <w:tcW w:type="dxa" w:w="2520"/>
            <w:vAlign w:val="top"/>
          </w:tcPr>
          <w:p>
            <w:r>
              <w:rPr>
                <w:sz w:val="15"/>
              </w:rPr>
              <w:t>Clinician-approved rules, sensitivity testing, fail-safe escalation</w:t>
            </w:r>
          </w:p>
        </w:tc>
      </w:tr>
      <w:tr>
        <w:tc>
          <w:tcPr>
            <w:tcW w:type="dxa" w:w="2520"/>
            <w:vAlign w:val="top"/>
          </w:tcPr>
          <w:p>
            <w:r>
              <w:rPr>
                <w:sz w:val="15"/>
              </w:rPr>
              <w:t>Facility recommendation</w:t>
            </w:r>
          </w:p>
        </w:tc>
        <w:tc>
          <w:tcPr>
            <w:tcW w:type="dxa" w:w="2520"/>
            <w:vAlign w:val="top"/>
          </w:tcPr>
          <w:p>
            <w:r>
              <w:rPr>
                <w:sz w:val="15"/>
              </w:rPr>
              <w:t>Operational recommendation</w:t>
            </w:r>
          </w:p>
        </w:tc>
        <w:tc>
          <w:tcPr>
            <w:tcW w:type="dxa" w:w="2520"/>
            <w:vAlign w:val="top"/>
          </w:tcPr>
          <w:p>
            <w:r>
              <w:rPr>
                <w:sz w:val="15"/>
              </w:rPr>
              <w:t>Medium</w:t>
            </w:r>
          </w:p>
        </w:tc>
        <w:tc>
          <w:tcPr>
            <w:tcW w:type="dxa" w:w="2520"/>
            <w:vAlign w:val="top"/>
          </w:tcPr>
          <w:p>
            <w:r>
              <w:rPr>
                <w:sz w:val="15"/>
              </w:rPr>
              <w:t>Explainable criteria; clinician/worker can override</w:t>
            </w:r>
          </w:p>
        </w:tc>
      </w:tr>
      <w:tr>
        <w:tc>
          <w:tcPr>
            <w:tcW w:type="dxa" w:w="2520"/>
            <w:vAlign w:val="top"/>
          </w:tcPr>
          <w:p>
            <w:r>
              <w:rPr>
                <w:sz w:val="15"/>
              </w:rPr>
              <w:t>Referral-risk prediction</w:t>
            </w:r>
          </w:p>
        </w:tc>
        <w:tc>
          <w:tcPr>
            <w:tcW w:type="dxa" w:w="2520"/>
            <w:vAlign w:val="top"/>
          </w:tcPr>
          <w:p>
            <w:r>
              <w:rPr>
                <w:sz w:val="15"/>
              </w:rPr>
              <w:t>Operational prediction</w:t>
            </w:r>
          </w:p>
        </w:tc>
        <w:tc>
          <w:tcPr>
            <w:tcW w:type="dxa" w:w="2520"/>
            <w:vAlign w:val="top"/>
          </w:tcPr>
          <w:p>
            <w:r>
              <w:rPr>
                <w:sz w:val="15"/>
              </w:rPr>
              <w:t>Medium</w:t>
            </w:r>
          </w:p>
        </w:tc>
        <w:tc>
          <w:tcPr>
            <w:tcW w:type="dxa" w:w="2520"/>
            <w:vAlign w:val="top"/>
          </w:tcPr>
          <w:p>
            <w:r>
              <w:rPr>
                <w:sz w:val="15"/>
              </w:rPr>
              <w:t>Bias monitoring; never auto-deny care</w:t>
            </w:r>
          </w:p>
        </w:tc>
      </w:tr>
      <w:tr>
        <w:tc>
          <w:tcPr>
            <w:tcW w:type="dxa" w:w="2520"/>
            <w:vAlign w:val="top"/>
          </w:tcPr>
          <w:p>
            <w:r>
              <w:rPr>
                <w:sz w:val="15"/>
              </w:rPr>
              <w:t>Appointment matching</w:t>
            </w:r>
          </w:p>
        </w:tc>
        <w:tc>
          <w:tcPr>
            <w:tcW w:type="dxa" w:w="2520"/>
            <w:vAlign w:val="top"/>
          </w:tcPr>
          <w:p>
            <w:r>
              <w:rPr>
                <w:sz w:val="15"/>
              </w:rPr>
              <w:t>Workflow automation</w:t>
            </w:r>
          </w:p>
        </w:tc>
        <w:tc>
          <w:tcPr>
            <w:tcW w:type="dxa" w:w="2520"/>
            <w:vAlign w:val="top"/>
          </w:tcPr>
          <w:p>
            <w:r>
              <w:rPr>
                <w:sz w:val="15"/>
              </w:rPr>
              <w:t>Low–medium</w:t>
            </w:r>
          </w:p>
        </w:tc>
        <w:tc>
          <w:tcPr>
            <w:tcW w:type="dxa" w:w="2520"/>
            <w:vAlign w:val="top"/>
          </w:tcPr>
          <w:p>
            <w:r>
              <w:rPr>
                <w:sz w:val="15"/>
              </w:rPr>
              <w:t>Respect provider availability and patient choice</w:t>
            </w:r>
          </w:p>
        </w:tc>
      </w:tr>
      <w:tr>
        <w:tc>
          <w:tcPr>
            <w:tcW w:type="dxa" w:w="2520"/>
            <w:vAlign w:val="top"/>
          </w:tcPr>
          <w:p>
            <w:r>
              <w:rPr>
                <w:sz w:val="15"/>
              </w:rPr>
              <w:t>Diagnostic reminder</w:t>
            </w:r>
          </w:p>
        </w:tc>
        <w:tc>
          <w:tcPr>
            <w:tcW w:type="dxa" w:w="2520"/>
            <w:vAlign w:val="top"/>
          </w:tcPr>
          <w:p>
            <w:r>
              <w:rPr>
                <w:sz w:val="15"/>
              </w:rPr>
              <w:t>Workflow automation</w:t>
            </w:r>
          </w:p>
        </w:tc>
        <w:tc>
          <w:tcPr>
            <w:tcW w:type="dxa" w:w="2520"/>
            <w:vAlign w:val="top"/>
          </w:tcPr>
          <w:p>
            <w:r>
              <w:rPr>
                <w:sz w:val="15"/>
              </w:rPr>
              <w:t>Low–medium</w:t>
            </w:r>
          </w:p>
        </w:tc>
        <w:tc>
          <w:tcPr>
            <w:tcW w:type="dxa" w:w="2520"/>
            <w:vAlign w:val="top"/>
          </w:tcPr>
          <w:p>
            <w:r>
              <w:rPr>
                <w:sz w:val="15"/>
              </w:rPr>
              <w:t>No autonomous diagnosis</w:t>
            </w:r>
          </w:p>
        </w:tc>
      </w:tr>
      <w:tr>
        <w:tc>
          <w:tcPr>
            <w:tcW w:type="dxa" w:w="2520"/>
            <w:vAlign w:val="top"/>
          </w:tcPr>
          <w:p>
            <w:r>
              <w:rPr>
                <w:sz w:val="15"/>
              </w:rPr>
              <w:t>Treatment recommendation</w:t>
            </w:r>
          </w:p>
        </w:tc>
        <w:tc>
          <w:tcPr>
            <w:tcW w:type="dxa" w:w="2520"/>
            <w:vAlign w:val="top"/>
          </w:tcPr>
          <w:p>
            <w:r>
              <w:rPr>
                <w:sz w:val="15"/>
              </w:rPr>
              <w:t>Avoid in MVP</w:t>
            </w:r>
          </w:p>
        </w:tc>
        <w:tc>
          <w:tcPr>
            <w:tcW w:type="dxa" w:w="2520"/>
            <w:vAlign w:val="top"/>
          </w:tcPr>
          <w:p>
            <w:r>
              <w:rPr>
                <w:sz w:val="15"/>
              </w:rPr>
              <w:t>High</w:t>
            </w:r>
          </w:p>
        </w:tc>
        <w:tc>
          <w:tcPr>
            <w:tcW w:type="dxa" w:w="2520"/>
            <w:vAlign w:val="top"/>
          </w:tcPr>
          <w:p>
            <w:r>
              <w:rPr>
                <w:sz w:val="15"/>
              </w:rPr>
              <w:t>Requires clinical governance/evidence and potentially regulatory assessment</w:t>
            </w:r>
          </w:p>
        </w:tc>
      </w:tr>
      <w:tr>
        <w:tc>
          <w:tcPr>
            <w:tcW w:type="dxa" w:w="2520"/>
            <w:vAlign w:val="top"/>
          </w:tcPr>
          <w:p>
            <w:r>
              <w:rPr>
                <w:sz w:val="15"/>
              </w:rPr>
              <w:t>Autonomous diagnosis</w:t>
            </w:r>
          </w:p>
        </w:tc>
        <w:tc>
          <w:tcPr>
            <w:tcW w:type="dxa" w:w="2520"/>
            <w:vAlign w:val="top"/>
          </w:tcPr>
          <w:p>
            <w:r>
              <w:rPr>
                <w:sz w:val="15"/>
              </w:rPr>
              <w:t>Do not deploy in MVP</w:t>
            </w:r>
          </w:p>
        </w:tc>
        <w:tc>
          <w:tcPr>
            <w:tcW w:type="dxa" w:w="2520"/>
            <w:vAlign w:val="top"/>
          </w:tcPr>
          <w:p>
            <w:r>
              <w:rPr>
                <w:sz w:val="15"/>
              </w:rPr>
              <w:t>Very high</w:t>
            </w:r>
          </w:p>
        </w:tc>
        <w:tc>
          <w:tcPr>
            <w:tcW w:type="dxa" w:w="2520"/>
            <w:vAlign w:val="top"/>
          </w:tcPr>
          <w:p>
            <w:r>
              <w:rPr>
                <w:sz w:val="15"/>
              </w:rPr>
              <w:t>Outside safe orchestration boundary</w:t>
            </w:r>
          </w:p>
        </w:tc>
      </w:tr>
    </w:tbl>
    <w:p/>
    <w:p>
      <w:r>
        <w:t>Important regulatory edge: CDSCO published a 2025 draft guidance document on Medical Device Software. It explicitly states that not all software used in healthcare qualifies as a medical device, while software intended for medical purposes can fall under the Medical Devices Rules. The document is a draft for stakeholder comments and says it should not be treated as new regulatory control. Therefore the safest MVP wording is “care coordination and decision support” unless a formal regulatory assessment establishes otherwise.</w:t>
      </w:r>
    </w:p>
    <w:p>
      <w:pPr>
        <w:pStyle w:val="Heading1"/>
      </w:pPr>
      <w:r>
        <w:t>5. Cybersecurity and production security</w:t>
      </w:r>
    </w:p>
    <w:p>
      <w:r>
        <w:t>ABDM production participation is not just an API-key exercise. NHA states that integrating entities must complete functional testing and security assessment, and its certification process requires security testing such as WASA and vulnerability testing for eligible software. CERT-In directions also require incident reporting within six hours for incidents in scope.</w:t>
      </w:r>
    </w:p>
    <w:p>
      <w:pPr>
        <w:pStyle w:val="Heading2"/>
      </w:pPr>
      <w:r>
        <w:t>5.1 Security architecture</w:t>
      </w:r>
    </w:p>
    <w:p>
      <w:pPr>
        <w:pStyle w:val="ListBullet"/>
      </w:pPr>
      <w:r>
        <w:t>API gateway with mTLS/OAuth-style authenticated service-to-service access as required by each integration contract.</w:t>
      </w:r>
    </w:p>
    <w:p>
      <w:pPr>
        <w:pStyle w:val="ListBullet"/>
      </w:pPr>
      <w:r>
        <w:t>Separate identity, application and privileged-admin roles; least-privilege service accounts.</w:t>
      </w:r>
    </w:p>
    <w:p>
      <w:pPr>
        <w:pStyle w:val="ListBullet"/>
      </w:pPr>
      <w:r>
        <w:t>Network segmentation between public gateway, orchestration services, integration adapters and databases.</w:t>
      </w:r>
    </w:p>
    <w:p>
      <w:pPr>
        <w:pStyle w:val="ListBullet"/>
      </w:pPr>
      <w:r>
        <w:t>Centralized secrets management; no API keys in mobile code or source repositories.</w:t>
      </w:r>
    </w:p>
    <w:p>
      <w:pPr>
        <w:pStyle w:val="ListBullet"/>
      </w:pPr>
      <w:r>
        <w:t>Encryption at rest and in transit, secure mobile keystore/TPM-backed storage where available.</w:t>
      </w:r>
    </w:p>
    <w:p>
      <w:pPr>
        <w:pStyle w:val="ListBullet"/>
      </w:pPr>
      <w:r>
        <w:t>Immutable audit/event pipeline for all personal-data access and critical journey transitions.</w:t>
      </w:r>
    </w:p>
    <w:p>
      <w:pPr>
        <w:pStyle w:val="ListBullet"/>
      </w:pPr>
      <w:r>
        <w:t>Continuous vulnerability scanning, dependency/SBOM management, patch management and penetration testing.</w:t>
      </w:r>
    </w:p>
    <w:p>
      <w:pPr>
        <w:pStyle w:val="ListBullet"/>
      </w:pPr>
      <w:r>
        <w:t>Backups with restoration testing, disaster recovery and defined RTO/RPO.</w:t>
      </w:r>
    </w:p>
    <w:p>
      <w:pPr>
        <w:pStyle w:val="ListBullet"/>
      </w:pPr>
      <w:r>
        <w:t>Incident-response plan including CERT-In and state/NIC-CERT/contractual escalation paths as applicable.</w:t>
      </w:r>
    </w:p>
    <w:p>
      <w:pPr>
        <w:pStyle w:val="ListBullet"/>
      </w:pPr>
      <w:r>
        <w:t>Time synchronization across systems so event timestamps can be trusted.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DEDED"/>
            <w:vAlign w:val="center"/>
          </w:tcPr>
          <w:p>
            <w:r>
              <w:rPr>
                <w:b/>
                <w:sz w:val="16"/>
              </w:rPr>
              <w:t>Control</w:t>
            </w:r>
          </w:p>
        </w:tc>
        <w:tc>
          <w:tcPr>
            <w:tcW w:type="dxa" w:w="3360"/>
            <w:shd w:fill="EDEDED"/>
            <w:vAlign w:val="center"/>
          </w:tcPr>
          <w:p>
            <w:r>
              <w:rPr>
                <w:b/>
                <w:sz w:val="16"/>
              </w:rPr>
              <w:t>Pilot minimum</w:t>
            </w:r>
          </w:p>
        </w:tc>
        <w:tc>
          <w:tcPr>
            <w:tcW w:type="dxa" w:w="3360"/>
            <w:shd w:fill="EDEDED"/>
            <w:vAlign w:val="center"/>
          </w:tcPr>
          <w:p>
            <w:r>
              <w:rPr>
                <w:b/>
                <w:sz w:val="16"/>
              </w:rPr>
              <w:t>Production target</w:t>
            </w:r>
          </w:p>
        </w:tc>
      </w:tr>
      <w:tr>
        <w:tc>
          <w:tcPr>
            <w:tcW w:type="dxa" w:w="3360"/>
            <w:vAlign w:val="top"/>
          </w:tcPr>
          <w:p>
            <w:r>
              <w:rPr>
                <w:sz w:val="15"/>
              </w:rPr>
              <w:t>Authentication</w:t>
            </w:r>
          </w:p>
        </w:tc>
        <w:tc>
          <w:tcPr>
            <w:tcW w:type="dxa" w:w="3360"/>
            <w:vAlign w:val="top"/>
          </w:tcPr>
          <w:p>
            <w:r>
              <w:rPr>
                <w:sz w:val="15"/>
              </w:rPr>
              <w:t>MFA for privileged users; secure token storage</w:t>
            </w:r>
          </w:p>
        </w:tc>
        <w:tc>
          <w:tcPr>
            <w:tcW w:type="dxa" w:w="3360"/>
            <w:vAlign w:val="top"/>
          </w:tcPr>
          <w:p>
            <w:r>
              <w:rPr>
                <w:sz w:val="15"/>
              </w:rPr>
              <w:t>Strong authentication + centralized IAM + periodic access review</w:t>
            </w:r>
          </w:p>
        </w:tc>
      </w:tr>
      <w:tr>
        <w:tc>
          <w:tcPr>
            <w:tcW w:type="dxa" w:w="3360"/>
            <w:vAlign w:val="top"/>
          </w:tcPr>
          <w:p>
            <w:r>
              <w:rPr>
                <w:sz w:val="15"/>
              </w:rPr>
              <w:t>Authorization</w:t>
            </w:r>
          </w:p>
        </w:tc>
        <w:tc>
          <w:tcPr>
            <w:tcW w:type="dxa" w:w="3360"/>
            <w:vAlign w:val="top"/>
          </w:tcPr>
          <w:p>
            <w:r>
              <w:rPr>
                <w:sz w:val="15"/>
              </w:rPr>
              <w:t>RBAC</w:t>
            </w:r>
          </w:p>
        </w:tc>
        <w:tc>
          <w:tcPr>
            <w:tcW w:type="dxa" w:w="3360"/>
            <w:vAlign w:val="top"/>
          </w:tcPr>
          <w:p>
            <w:r>
              <w:rPr>
                <w:sz w:val="15"/>
              </w:rPr>
              <w:t>RBAC + purpose/context rules + break-glass audit</w:t>
            </w:r>
          </w:p>
        </w:tc>
      </w:tr>
      <w:tr>
        <w:tc>
          <w:tcPr>
            <w:tcW w:type="dxa" w:w="3360"/>
            <w:vAlign w:val="top"/>
          </w:tcPr>
          <w:p>
            <w:r>
              <w:rPr>
                <w:sz w:val="15"/>
              </w:rPr>
              <w:t>Encryption</w:t>
            </w:r>
          </w:p>
        </w:tc>
        <w:tc>
          <w:tcPr>
            <w:tcW w:type="dxa" w:w="3360"/>
            <w:vAlign w:val="top"/>
          </w:tcPr>
          <w:p>
            <w:r>
              <w:rPr>
                <w:sz w:val="15"/>
              </w:rPr>
              <w:t>TLS + encrypted DB/local cache</w:t>
            </w:r>
          </w:p>
        </w:tc>
        <w:tc>
          <w:tcPr>
            <w:tcW w:type="dxa" w:w="3360"/>
            <w:vAlign w:val="top"/>
          </w:tcPr>
          <w:p>
            <w:r>
              <w:rPr>
                <w:sz w:val="15"/>
              </w:rPr>
              <w:t>End-to-end encryption with managed keys</w:t>
            </w:r>
          </w:p>
        </w:tc>
      </w:tr>
      <w:tr>
        <w:tc>
          <w:tcPr>
            <w:tcW w:type="dxa" w:w="3360"/>
            <w:vAlign w:val="top"/>
          </w:tcPr>
          <w:p>
            <w:r>
              <w:rPr>
                <w:sz w:val="15"/>
              </w:rPr>
              <w:t>Logging</w:t>
            </w:r>
          </w:p>
        </w:tc>
        <w:tc>
          <w:tcPr>
            <w:tcW w:type="dxa" w:w="3360"/>
            <w:vAlign w:val="top"/>
          </w:tcPr>
          <w:p>
            <w:r>
              <w:rPr>
                <w:sz w:val="15"/>
              </w:rPr>
              <w:t>Application/audit logs</w:t>
            </w:r>
          </w:p>
        </w:tc>
        <w:tc>
          <w:tcPr>
            <w:tcW w:type="dxa" w:w="3360"/>
            <w:vAlign w:val="top"/>
          </w:tcPr>
          <w:p>
            <w:r>
              <w:rPr>
                <w:sz w:val="15"/>
              </w:rPr>
              <w:t>Central SIEM, immutable audit trail, alerting</w:t>
            </w:r>
          </w:p>
        </w:tc>
      </w:tr>
      <w:tr>
        <w:tc>
          <w:tcPr>
            <w:tcW w:type="dxa" w:w="3360"/>
            <w:vAlign w:val="top"/>
          </w:tcPr>
          <w:p>
            <w:r>
              <w:rPr>
                <w:sz w:val="15"/>
              </w:rPr>
              <w:t>Vulnerability management</w:t>
            </w:r>
          </w:p>
        </w:tc>
        <w:tc>
          <w:tcPr>
            <w:tcW w:type="dxa" w:w="3360"/>
            <w:vAlign w:val="top"/>
          </w:tcPr>
          <w:p>
            <w:r>
              <w:rPr>
                <w:sz w:val="15"/>
              </w:rPr>
              <w:t>SAST/DAST + dependency scan</w:t>
            </w:r>
          </w:p>
        </w:tc>
        <w:tc>
          <w:tcPr>
            <w:tcW w:type="dxa" w:w="3360"/>
            <w:vAlign w:val="top"/>
          </w:tcPr>
          <w:p>
            <w:r>
              <w:rPr>
                <w:sz w:val="15"/>
              </w:rPr>
              <w:t>Recurring VAPT + patch SLAs + SBOM</w:t>
            </w:r>
          </w:p>
        </w:tc>
      </w:tr>
      <w:tr>
        <w:tc>
          <w:tcPr>
            <w:tcW w:type="dxa" w:w="3360"/>
            <w:vAlign w:val="top"/>
          </w:tcPr>
          <w:p>
            <w:r>
              <w:rPr>
                <w:sz w:val="15"/>
              </w:rPr>
              <w:t>Resilience</w:t>
            </w:r>
          </w:p>
        </w:tc>
        <w:tc>
          <w:tcPr>
            <w:tcW w:type="dxa" w:w="3360"/>
            <w:vAlign w:val="top"/>
          </w:tcPr>
          <w:p>
            <w:r>
              <w:rPr>
                <w:sz w:val="15"/>
              </w:rPr>
              <w:t>Daily backup + tested restore</w:t>
            </w:r>
          </w:p>
        </w:tc>
        <w:tc>
          <w:tcPr>
            <w:tcW w:type="dxa" w:w="3360"/>
            <w:vAlign w:val="top"/>
          </w:tcPr>
          <w:p>
            <w:r>
              <w:rPr>
                <w:sz w:val="15"/>
              </w:rPr>
              <w:t>Multi-zone or equivalent HA + DR exercises</w:t>
            </w:r>
          </w:p>
        </w:tc>
      </w:tr>
      <w:tr>
        <w:tc>
          <w:tcPr>
            <w:tcW w:type="dxa" w:w="3360"/>
            <w:vAlign w:val="top"/>
          </w:tcPr>
          <w:p>
            <w:r>
              <w:rPr>
                <w:sz w:val="15"/>
              </w:rPr>
              <w:t>Incident response</w:t>
            </w:r>
          </w:p>
        </w:tc>
        <w:tc>
          <w:tcPr>
            <w:tcW w:type="dxa" w:w="3360"/>
            <w:vAlign w:val="top"/>
          </w:tcPr>
          <w:p>
            <w:r>
              <w:rPr>
                <w:sz w:val="15"/>
              </w:rPr>
              <w:t>Documented IRP + contact tree</w:t>
            </w:r>
          </w:p>
        </w:tc>
        <w:tc>
          <w:tcPr>
            <w:tcW w:type="dxa" w:w="3360"/>
            <w:vAlign w:val="top"/>
          </w:tcPr>
          <w:p>
            <w:r>
              <w:rPr>
                <w:sz w:val="15"/>
              </w:rPr>
              <w:t>24x7 monitoring/on-call and regulator/state escalation</w:t>
            </w:r>
          </w:p>
        </w:tc>
      </w:tr>
    </w:tbl>
    <w:p/>
    <w:p>
      <w:pPr>
        <w:pStyle w:val="Heading1"/>
      </w:pPr>
      <w:r>
        <w:t>6. Offline-first and low-connectivity feasibility</w:t>
      </w:r>
    </w:p>
    <w:p>
      <w:r>
        <w:t>Offline is a core operating mode for rural deployment, not a convenience feature. Government systems such as U-WIN and NP-NCD already demonstrate offline capture/synchronization patterns, while field reviews have reported unreliable connectivity as a practical constraint on digital-health workflows.</w:t>
      </w:r>
    </w:p>
    <w:p>
      <w:pPr>
        <w:pStyle w:val="Heading2"/>
      </w:pPr>
      <w:r>
        <w:t>6.1 Recommended sync architecture</w:t>
      </w:r>
    </w:p>
    <w:p>
      <w:r>
        <w:t>Use an append-only local event queue rather than “edit the whole patient record offline.” A mobile device records signed/encrypted events such as screening completed, referral created or follow-up attempted. When connectivity returns, the device syncs events, receives acknowledgements and resolves conflicts according to deterministic policies.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sz w:val="16"/>
              </w:rPr>
              <w:t>Offline concern</w:t>
            </w:r>
          </w:p>
        </w:tc>
        <w:tc>
          <w:tcPr>
            <w:tcW w:type="dxa" w:w="5040"/>
            <w:shd w:fill="EDEDED"/>
            <w:vAlign w:val="center"/>
          </w:tcPr>
          <w:p>
            <w:r>
              <w:rPr>
                <w:b/>
                <w:sz w:val="16"/>
              </w:rPr>
              <w:t>Production solution</w:t>
            </w:r>
          </w:p>
        </w:tc>
      </w:tr>
      <w:tr>
        <w:tc>
          <w:tcPr>
            <w:tcW w:type="dxa" w:w="5040"/>
            <w:vAlign w:val="top"/>
          </w:tcPr>
          <w:p>
            <w:r>
              <w:rPr>
                <w:sz w:val="15"/>
              </w:rPr>
              <w:t>Duplicate submissions</w:t>
            </w:r>
          </w:p>
        </w:tc>
        <w:tc>
          <w:tcPr>
            <w:tcW w:type="dxa" w:w="5040"/>
            <w:vAlign w:val="top"/>
          </w:tcPr>
          <w:p>
            <w:r>
              <w:rPr>
                <w:sz w:val="15"/>
              </w:rPr>
              <w:t>Client-generated event ID + server idempotency key</w:t>
            </w:r>
          </w:p>
        </w:tc>
      </w:tr>
      <w:tr>
        <w:tc>
          <w:tcPr>
            <w:tcW w:type="dxa" w:w="5040"/>
            <w:vAlign w:val="top"/>
          </w:tcPr>
          <w:p>
            <w:r>
              <w:rPr>
                <w:sz w:val="15"/>
              </w:rPr>
              <w:t>Clock mismatch</w:t>
            </w:r>
          </w:p>
        </w:tc>
        <w:tc>
          <w:tcPr>
            <w:tcW w:type="dxa" w:w="5040"/>
            <w:vAlign w:val="top"/>
          </w:tcPr>
          <w:p>
            <w:r>
              <w:rPr>
                <w:sz w:val="15"/>
              </w:rPr>
              <w:t>Server event time + client capture time; trusted sync timestamp</w:t>
            </w:r>
          </w:p>
        </w:tc>
      </w:tr>
      <w:tr>
        <w:tc>
          <w:tcPr>
            <w:tcW w:type="dxa" w:w="5040"/>
            <w:vAlign w:val="top"/>
          </w:tcPr>
          <w:p>
            <w:r>
              <w:rPr>
                <w:sz w:val="15"/>
              </w:rPr>
              <w:t>Conflicting updates</w:t>
            </w:r>
          </w:p>
        </w:tc>
        <w:tc>
          <w:tcPr>
            <w:tcW w:type="dxa" w:w="5040"/>
            <w:vAlign w:val="top"/>
          </w:tcPr>
          <w:p>
            <w:r>
              <w:rPr>
                <w:sz w:val="15"/>
              </w:rPr>
              <w:t>Field-level/version-based conflict rules; never silently overwrite clinical facts</w:t>
            </w:r>
          </w:p>
        </w:tc>
      </w:tr>
      <w:tr>
        <w:tc>
          <w:tcPr>
            <w:tcW w:type="dxa" w:w="5040"/>
            <w:vAlign w:val="top"/>
          </w:tcPr>
          <w:p>
            <w:r>
              <w:rPr>
                <w:sz w:val="15"/>
              </w:rPr>
              <w:t>Stale facility data</w:t>
            </w:r>
          </w:p>
        </w:tc>
        <w:tc>
          <w:tcPr>
            <w:tcW w:type="dxa" w:w="5040"/>
            <w:vAlign w:val="top"/>
          </w:tcPr>
          <w:p>
            <w:r>
              <w:rPr>
                <w:sz w:val="15"/>
              </w:rPr>
              <w:t>TTL/last-updated badge; do not present stale availability as real-time</w:t>
            </w:r>
          </w:p>
        </w:tc>
      </w:tr>
      <w:tr>
        <w:tc>
          <w:tcPr>
            <w:tcW w:type="dxa" w:w="5040"/>
            <w:vAlign w:val="top"/>
          </w:tcPr>
          <w:p>
            <w:r>
              <w:rPr>
                <w:sz w:val="15"/>
              </w:rPr>
              <w:t>Lost device</w:t>
            </w:r>
          </w:p>
        </w:tc>
        <w:tc>
          <w:tcPr>
            <w:tcW w:type="dxa" w:w="5040"/>
            <w:vAlign w:val="top"/>
          </w:tcPr>
          <w:p>
            <w:r>
              <w:rPr>
                <w:sz w:val="15"/>
              </w:rPr>
              <w:t>Remote revoke + local encrypted storage + short-lived tokens</w:t>
            </w:r>
          </w:p>
        </w:tc>
      </w:tr>
      <w:tr>
        <w:tc>
          <w:tcPr>
            <w:tcW w:type="dxa" w:w="5040"/>
            <w:vAlign w:val="top"/>
          </w:tcPr>
          <w:p>
            <w:r>
              <w:rPr>
                <w:sz w:val="15"/>
              </w:rPr>
              <w:t>Partial sync</w:t>
            </w:r>
          </w:p>
        </w:tc>
        <w:tc>
          <w:tcPr>
            <w:tcW w:type="dxa" w:w="5040"/>
            <w:vAlign w:val="top"/>
          </w:tcPr>
          <w:p>
            <w:r>
              <w:rPr>
                <w:sz w:val="15"/>
              </w:rPr>
              <w:t>Per-event acknowledgement; retry with exponential backoff</w:t>
            </w:r>
          </w:p>
        </w:tc>
      </w:tr>
      <w:tr>
        <w:tc>
          <w:tcPr>
            <w:tcW w:type="dxa" w:w="5040"/>
            <w:vAlign w:val="top"/>
          </w:tcPr>
          <w:p>
            <w:r>
              <w:rPr>
                <w:sz w:val="15"/>
              </w:rPr>
              <w:t>Critical referral offline</w:t>
            </w:r>
          </w:p>
        </w:tc>
        <w:tc>
          <w:tcPr>
            <w:tcW w:type="dxa" w:w="5040"/>
            <w:vAlign w:val="top"/>
          </w:tcPr>
          <w:p>
            <w:r>
              <w:rPr>
                <w:sz w:val="15"/>
              </w:rPr>
              <w:t>Local escalation fallback to phone/voice/standard emergency route</w:t>
            </w:r>
          </w:p>
        </w:tc>
      </w:tr>
      <w:tr>
        <w:tc>
          <w:tcPr>
            <w:tcW w:type="dxa" w:w="5040"/>
            <w:vAlign w:val="top"/>
          </w:tcPr>
          <w:p>
            <w:r>
              <w:rPr>
                <w:sz w:val="15"/>
              </w:rPr>
              <w:t>Language/offline content</w:t>
            </w:r>
          </w:p>
        </w:tc>
        <w:tc>
          <w:tcPr>
            <w:tcW w:type="dxa" w:w="5040"/>
            <w:vAlign w:val="top"/>
          </w:tcPr>
          <w:p>
            <w:r>
              <w:rPr>
                <w:sz w:val="15"/>
              </w:rPr>
              <w:t>Pre-cache approved terminology, protocols and UI translations</w:t>
            </w:r>
          </w:p>
        </w:tc>
      </w:tr>
    </w:tbl>
    <w:p/>
    <w:p>
      <w:pPr>
        <w:pStyle w:val="Heading1"/>
      </w:pPr>
      <w:r>
        <w:t>7. Tamil Nadu implementation feasibility</w:t>
      </w:r>
    </w:p>
    <w:p>
      <w:r>
        <w:t>Tamil Nadu should be treated as the initial maturity/continuity pilot. The state already has a mature public-health delivery structure, TN-HMIS, Makkalai Thedi Maruthuvam, PICME/RCH workflows, state insurance/benefit infrastructure, 108 emergency transport and eSanjeevani. The state budget and official releases document the scale of MTM and the continued expansion of diagnostic and mobile health services.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sz w:val="16"/>
              </w:rPr>
              <w:t>Tamil Nadu layer</w:t>
            </w:r>
          </w:p>
        </w:tc>
        <w:tc>
          <w:tcPr>
            <w:tcW w:type="dxa" w:w="2520"/>
            <w:shd w:fill="EDEDED"/>
            <w:vAlign w:val="center"/>
          </w:tcPr>
          <w:p>
            <w:r>
              <w:rPr>
                <w:b/>
                <w:sz w:val="16"/>
              </w:rPr>
              <w:t>Integration target</w:t>
            </w:r>
          </w:p>
        </w:tc>
        <w:tc>
          <w:tcPr>
            <w:tcW w:type="dxa" w:w="2520"/>
            <w:shd w:fill="EDEDED"/>
            <w:vAlign w:val="center"/>
          </w:tcPr>
          <w:p>
            <w:r>
              <w:rPr>
                <w:b/>
                <w:sz w:val="16"/>
              </w:rPr>
              <w:t>What we use</w:t>
            </w:r>
          </w:p>
        </w:tc>
        <w:tc>
          <w:tcPr>
            <w:tcW w:type="dxa" w:w="2520"/>
            <w:shd w:fill="EDEDED"/>
            <w:vAlign w:val="center"/>
          </w:tcPr>
          <w:p>
            <w:r>
              <w:rPr>
                <w:b/>
                <w:sz w:val="16"/>
              </w:rPr>
              <w:t>What we add</w:t>
            </w:r>
          </w:p>
        </w:tc>
      </w:tr>
      <w:tr>
        <w:tc>
          <w:tcPr>
            <w:tcW w:type="dxa" w:w="2520"/>
            <w:vAlign w:val="top"/>
          </w:tcPr>
          <w:p>
            <w:r>
              <w:rPr>
                <w:sz w:val="15"/>
              </w:rPr>
              <w:t>Community / MTM</w:t>
            </w:r>
          </w:p>
        </w:tc>
        <w:tc>
          <w:tcPr>
            <w:tcW w:type="dxa" w:w="2520"/>
            <w:vAlign w:val="top"/>
          </w:tcPr>
          <w:p>
            <w:r>
              <w:rPr>
                <w:sz w:val="15"/>
              </w:rPr>
              <w:t>State/community programme workflow</w:t>
            </w:r>
          </w:p>
        </w:tc>
        <w:tc>
          <w:tcPr>
            <w:tcW w:type="dxa" w:w="2520"/>
            <w:vAlign w:val="top"/>
          </w:tcPr>
          <w:p>
            <w:r>
              <w:rPr>
                <w:sz w:val="15"/>
              </w:rPr>
              <w:t>Screening/home-service event</w:t>
            </w:r>
          </w:p>
        </w:tc>
        <w:tc>
          <w:tcPr>
            <w:tcW w:type="dxa" w:w="2520"/>
            <w:vAlign w:val="top"/>
          </w:tcPr>
          <w:p>
            <w:r>
              <w:rPr>
                <w:sz w:val="15"/>
              </w:rPr>
              <w:t>Journey initiation + follow-up/task routing</w:t>
            </w:r>
          </w:p>
        </w:tc>
      </w:tr>
      <w:tr>
        <w:tc>
          <w:tcPr>
            <w:tcW w:type="dxa" w:w="2520"/>
            <w:vAlign w:val="top"/>
          </w:tcPr>
          <w:p>
            <w:r>
              <w:rPr>
                <w:sz w:val="15"/>
              </w:rPr>
              <w:t>PICME / RCH</w:t>
            </w:r>
          </w:p>
        </w:tc>
        <w:tc>
          <w:tcPr>
            <w:tcW w:type="dxa" w:w="2520"/>
            <w:vAlign w:val="top"/>
          </w:tcPr>
          <w:p>
            <w:r>
              <w:rPr>
                <w:sz w:val="15"/>
              </w:rPr>
              <w:t>Maternal/child programme</w:t>
            </w:r>
          </w:p>
        </w:tc>
        <w:tc>
          <w:tcPr>
            <w:tcW w:type="dxa" w:w="2520"/>
            <w:vAlign w:val="top"/>
          </w:tcPr>
          <w:p>
            <w:r>
              <w:rPr>
                <w:sz w:val="15"/>
              </w:rPr>
              <w:t>RCH beneficiary context</w:t>
            </w:r>
          </w:p>
        </w:tc>
        <w:tc>
          <w:tcPr>
            <w:tcW w:type="dxa" w:w="2520"/>
            <w:vAlign w:val="top"/>
          </w:tcPr>
          <w:p>
            <w:r>
              <w:rPr>
                <w:sz w:val="15"/>
              </w:rPr>
              <w:t>High-risk maternal journey orchestration</w:t>
            </w:r>
          </w:p>
        </w:tc>
      </w:tr>
      <w:tr>
        <w:tc>
          <w:tcPr>
            <w:tcW w:type="dxa" w:w="2520"/>
            <w:vAlign w:val="top"/>
          </w:tcPr>
          <w:p>
            <w:r>
              <w:rPr>
                <w:sz w:val="15"/>
              </w:rPr>
              <w:t>NCD</w:t>
            </w:r>
          </w:p>
        </w:tc>
        <w:tc>
          <w:tcPr>
            <w:tcW w:type="dxa" w:w="2520"/>
            <w:vAlign w:val="top"/>
          </w:tcPr>
          <w:p>
            <w:r>
              <w:rPr>
                <w:sz w:val="15"/>
              </w:rPr>
              <w:t>National/state NCD systems</w:t>
            </w:r>
          </w:p>
        </w:tc>
        <w:tc>
          <w:tcPr>
            <w:tcW w:type="dxa" w:w="2520"/>
            <w:vAlign w:val="top"/>
          </w:tcPr>
          <w:p>
            <w:r>
              <w:rPr>
                <w:sz w:val="15"/>
              </w:rPr>
              <w:t>Risk, screening, treatment/follow-up</w:t>
            </w:r>
          </w:p>
        </w:tc>
        <w:tc>
          <w:tcPr>
            <w:tcW w:type="dxa" w:w="2520"/>
            <w:vAlign w:val="top"/>
          </w:tcPr>
          <w:p>
            <w:r>
              <w:rPr>
                <w:sz w:val="15"/>
              </w:rPr>
              <w:t>Cross-system care pathway</w:t>
            </w:r>
          </w:p>
        </w:tc>
      </w:tr>
      <w:tr>
        <w:tc>
          <w:tcPr>
            <w:tcW w:type="dxa" w:w="2520"/>
            <w:vAlign w:val="top"/>
          </w:tcPr>
          <w:p>
            <w:r>
              <w:rPr>
                <w:sz w:val="15"/>
              </w:rPr>
              <w:t>TN-HMIS / hospital HIS</w:t>
            </w:r>
          </w:p>
        </w:tc>
        <w:tc>
          <w:tcPr>
            <w:tcW w:type="dxa" w:w="2520"/>
            <w:vAlign w:val="top"/>
          </w:tcPr>
          <w:p>
            <w:r>
              <w:rPr>
                <w:sz w:val="15"/>
              </w:rPr>
              <w:t>State/facility</w:t>
            </w:r>
          </w:p>
        </w:tc>
        <w:tc>
          <w:tcPr>
            <w:tcW w:type="dxa" w:w="2520"/>
            <w:vAlign w:val="top"/>
          </w:tcPr>
          <w:p>
            <w:r>
              <w:rPr>
                <w:sz w:val="15"/>
              </w:rPr>
              <w:t>Facility/encounter operational data</w:t>
            </w:r>
          </w:p>
        </w:tc>
        <w:tc>
          <w:tcPr>
            <w:tcW w:type="dxa" w:w="2520"/>
            <w:vAlign w:val="top"/>
          </w:tcPr>
          <w:p>
            <w:r>
              <w:rPr>
                <w:sz w:val="15"/>
              </w:rPr>
              <w:t>Referral/queue/quality orchestration</w:t>
            </w:r>
          </w:p>
        </w:tc>
      </w:tr>
      <w:tr>
        <w:tc>
          <w:tcPr>
            <w:tcW w:type="dxa" w:w="2520"/>
            <w:vAlign w:val="top"/>
          </w:tcPr>
          <w:p>
            <w:r>
              <w:rPr>
                <w:sz w:val="15"/>
              </w:rPr>
              <w:t>CMCHIS / PM-JAY</w:t>
            </w:r>
          </w:p>
        </w:tc>
        <w:tc>
          <w:tcPr>
            <w:tcW w:type="dxa" w:w="2520"/>
            <w:vAlign w:val="top"/>
          </w:tcPr>
          <w:p>
            <w:r>
              <w:rPr>
                <w:sz w:val="15"/>
              </w:rPr>
              <w:t>Benefit system</w:t>
            </w:r>
          </w:p>
        </w:tc>
        <w:tc>
          <w:tcPr>
            <w:tcW w:type="dxa" w:w="2520"/>
            <w:vAlign w:val="top"/>
          </w:tcPr>
          <w:p>
            <w:r>
              <w:rPr>
                <w:sz w:val="15"/>
              </w:rPr>
              <w:t>Entitlement/empanelment signal</w:t>
            </w:r>
          </w:p>
        </w:tc>
        <w:tc>
          <w:tcPr>
            <w:tcW w:type="dxa" w:w="2520"/>
            <w:vAlign w:val="top"/>
          </w:tcPr>
          <w:p>
            <w:r>
              <w:rPr>
                <w:sz w:val="15"/>
              </w:rPr>
              <w:t>Entitlement-aware facility selection</w:t>
            </w:r>
          </w:p>
        </w:tc>
      </w:tr>
      <w:tr>
        <w:tc>
          <w:tcPr>
            <w:tcW w:type="dxa" w:w="2520"/>
            <w:vAlign w:val="top"/>
          </w:tcPr>
          <w:p>
            <w:r>
              <w:rPr>
                <w:sz w:val="15"/>
              </w:rPr>
              <w:t>108</w:t>
            </w:r>
          </w:p>
        </w:tc>
        <w:tc>
          <w:tcPr>
            <w:tcW w:type="dxa" w:w="2520"/>
            <w:vAlign w:val="top"/>
          </w:tcPr>
          <w:p>
            <w:r>
              <w:rPr>
                <w:sz w:val="15"/>
              </w:rPr>
              <w:t>Emergency transport</w:t>
            </w:r>
          </w:p>
        </w:tc>
        <w:tc>
          <w:tcPr>
            <w:tcW w:type="dxa" w:w="2520"/>
            <w:vAlign w:val="top"/>
          </w:tcPr>
          <w:p>
            <w:r>
              <w:rPr>
                <w:sz w:val="15"/>
              </w:rPr>
              <w:t>Transport request/status subject to interface</w:t>
            </w:r>
          </w:p>
        </w:tc>
        <w:tc>
          <w:tcPr>
            <w:tcW w:type="dxa" w:w="2520"/>
            <w:vAlign w:val="top"/>
          </w:tcPr>
          <w:p>
            <w:r>
              <w:rPr>
                <w:sz w:val="15"/>
              </w:rPr>
              <w:t>Referral-to-transport coupling</w:t>
            </w:r>
          </w:p>
        </w:tc>
      </w:tr>
      <w:tr>
        <w:tc>
          <w:tcPr>
            <w:tcW w:type="dxa" w:w="2520"/>
            <w:vAlign w:val="top"/>
          </w:tcPr>
          <w:p>
            <w:r>
              <w:rPr>
                <w:sz w:val="15"/>
              </w:rPr>
              <w:t>Labs / drugs</w:t>
            </w:r>
          </w:p>
        </w:tc>
        <w:tc>
          <w:tcPr>
            <w:tcW w:type="dxa" w:w="2520"/>
            <w:vAlign w:val="top"/>
          </w:tcPr>
          <w:p>
            <w:r>
              <w:rPr>
                <w:sz w:val="15"/>
              </w:rPr>
              <w:t>State/facility systems</w:t>
            </w:r>
          </w:p>
        </w:tc>
        <w:tc>
          <w:tcPr>
            <w:tcW w:type="dxa" w:w="2520"/>
            <w:vAlign w:val="top"/>
          </w:tcPr>
          <w:p>
            <w:r>
              <w:rPr>
                <w:sz w:val="15"/>
              </w:rPr>
              <w:t>Service/stock/result status</w:t>
            </w:r>
          </w:p>
        </w:tc>
        <w:tc>
          <w:tcPr>
            <w:tcW w:type="dxa" w:w="2520"/>
            <w:vAlign w:val="top"/>
          </w:tcPr>
          <w:p>
            <w:r>
              <w:rPr>
                <w:sz w:val="15"/>
              </w:rPr>
              <w:t>Patient-specific resource routing</w:t>
            </w:r>
          </w:p>
        </w:tc>
      </w:tr>
    </w:tbl>
    <w:p/>
    <w:p>
      <w:r>
        <w:t>Production caveat: exact state API endpoints, credentials, data-sharing agreements and facility-system interfaces must be confirmed with the Tamil Nadu health authorities and each participating system owner. The architecture therefore requires a TN adapter rather than hardcoding one assumed API.</w:t>
      </w:r>
    </w:p>
    <w:p>
      <w:pPr>
        <w:pStyle w:val="Heading1"/>
      </w:pPr>
      <w:r>
        <w:t>8. Maharashtra implementation feasibility</w:t>
      </w:r>
    </w:p>
    <w:p>
      <w:r>
        <w:t>Maharashtra should be treated as the scalability/geography stress test. Its public-health network is large and heterogeneous, and the state already operates AAM telemedicine, NP-NCD multi-level workflows, RCH/ANMOL, MEMS 108 and services targeting remote/tribal areas. Its 2023 digital healthcare policy explicitly proposes interoperable hospital-management/EMR systems using ABHA/HFR/HPR, seamless intra- and inter-hospital journeys, follow-up/notifications and AI/ML clinical decision support.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sz w:val="16"/>
              </w:rPr>
              <w:t>Maharashtra layer</w:t>
            </w:r>
          </w:p>
        </w:tc>
        <w:tc>
          <w:tcPr>
            <w:tcW w:type="dxa" w:w="2520"/>
            <w:shd w:fill="EDEDED"/>
            <w:vAlign w:val="center"/>
          </w:tcPr>
          <w:p>
            <w:r>
              <w:rPr>
                <w:b/>
                <w:sz w:val="16"/>
              </w:rPr>
              <w:t>Integration target</w:t>
            </w:r>
          </w:p>
        </w:tc>
        <w:tc>
          <w:tcPr>
            <w:tcW w:type="dxa" w:w="2520"/>
            <w:shd w:fill="EDEDED"/>
            <w:vAlign w:val="center"/>
          </w:tcPr>
          <w:p>
            <w:r>
              <w:rPr>
                <w:b/>
                <w:sz w:val="16"/>
              </w:rPr>
              <w:t>What we use</w:t>
            </w:r>
          </w:p>
        </w:tc>
        <w:tc>
          <w:tcPr>
            <w:tcW w:type="dxa" w:w="2520"/>
            <w:shd w:fill="EDEDED"/>
            <w:vAlign w:val="center"/>
          </w:tcPr>
          <w:p>
            <w:r>
              <w:rPr>
                <w:b/>
                <w:sz w:val="16"/>
              </w:rPr>
              <w:t>What we add</w:t>
            </w:r>
          </w:p>
        </w:tc>
      </w:tr>
      <w:tr>
        <w:tc>
          <w:tcPr>
            <w:tcW w:type="dxa" w:w="2520"/>
            <w:vAlign w:val="top"/>
          </w:tcPr>
          <w:p>
            <w:r>
              <w:rPr>
                <w:sz w:val="15"/>
              </w:rPr>
              <w:t>Remote/tribal community</w:t>
            </w:r>
          </w:p>
        </w:tc>
        <w:tc>
          <w:tcPr>
            <w:tcW w:type="dxa" w:w="2520"/>
            <w:vAlign w:val="top"/>
          </w:tcPr>
          <w:p>
            <w:r>
              <w:rPr>
                <w:sz w:val="15"/>
              </w:rPr>
              <w:t>AAM / MMU / field workers</w:t>
            </w:r>
          </w:p>
        </w:tc>
        <w:tc>
          <w:tcPr>
            <w:tcW w:type="dxa" w:w="2520"/>
            <w:vAlign w:val="top"/>
          </w:tcPr>
          <w:p>
            <w:r>
              <w:rPr>
                <w:sz w:val="15"/>
              </w:rPr>
              <w:t>Encounter + location context</w:t>
            </w:r>
          </w:p>
        </w:tc>
        <w:tc>
          <w:tcPr>
            <w:tcW w:type="dxa" w:w="2520"/>
            <w:vAlign w:val="top"/>
          </w:tcPr>
          <w:p>
            <w:r>
              <w:rPr>
                <w:sz w:val="15"/>
              </w:rPr>
              <w:t>Offline journey + geography-aware routing</w:t>
            </w:r>
          </w:p>
        </w:tc>
      </w:tr>
      <w:tr>
        <w:tc>
          <w:tcPr>
            <w:tcW w:type="dxa" w:w="2520"/>
            <w:vAlign w:val="top"/>
          </w:tcPr>
          <w:p>
            <w:r>
              <w:rPr>
                <w:sz w:val="15"/>
              </w:rPr>
              <w:t>NP-NCD</w:t>
            </w:r>
          </w:p>
        </w:tc>
        <w:tc>
          <w:tcPr>
            <w:tcW w:type="dxa" w:w="2520"/>
            <w:vAlign w:val="top"/>
          </w:tcPr>
          <w:p>
            <w:r>
              <w:rPr>
                <w:sz w:val="15"/>
              </w:rPr>
              <w:t>ASHA/HWC/PHC/CHC/DH workflows</w:t>
            </w:r>
          </w:p>
        </w:tc>
        <w:tc>
          <w:tcPr>
            <w:tcW w:type="dxa" w:w="2520"/>
            <w:vAlign w:val="top"/>
          </w:tcPr>
          <w:p>
            <w:r>
              <w:rPr>
                <w:sz w:val="15"/>
              </w:rPr>
              <w:t>Screening/treatment/follow-up</w:t>
            </w:r>
          </w:p>
        </w:tc>
        <w:tc>
          <w:tcPr>
            <w:tcW w:type="dxa" w:w="2520"/>
            <w:vAlign w:val="top"/>
          </w:tcPr>
          <w:p>
            <w:r>
              <w:rPr>
                <w:sz w:val="15"/>
              </w:rPr>
              <w:t>Cross-level referral closure</w:t>
            </w:r>
          </w:p>
        </w:tc>
      </w:tr>
      <w:tr>
        <w:tc>
          <w:tcPr>
            <w:tcW w:type="dxa" w:w="2520"/>
            <w:vAlign w:val="top"/>
          </w:tcPr>
          <w:p>
            <w:r>
              <w:rPr>
                <w:sz w:val="15"/>
              </w:rPr>
              <w:t>RCH/ANMOL</w:t>
            </w:r>
          </w:p>
        </w:tc>
        <w:tc>
          <w:tcPr>
            <w:tcW w:type="dxa" w:w="2520"/>
            <w:vAlign w:val="top"/>
          </w:tcPr>
          <w:p>
            <w:r>
              <w:rPr>
                <w:sz w:val="15"/>
              </w:rPr>
              <w:t>Maternal/child</w:t>
            </w:r>
          </w:p>
        </w:tc>
        <w:tc>
          <w:tcPr>
            <w:tcW w:type="dxa" w:w="2520"/>
            <w:vAlign w:val="top"/>
          </w:tcPr>
          <w:p>
            <w:r>
              <w:rPr>
                <w:sz w:val="15"/>
              </w:rPr>
              <w:t>Beneficiary + due/risk context</w:t>
            </w:r>
          </w:p>
        </w:tc>
        <w:tc>
          <w:tcPr>
            <w:tcW w:type="dxa" w:w="2520"/>
            <w:vAlign w:val="top"/>
          </w:tcPr>
          <w:p>
            <w:r>
              <w:rPr>
                <w:sz w:val="15"/>
              </w:rPr>
              <w:t>Referral/diagnostic/transport continuity</w:t>
            </w:r>
          </w:p>
        </w:tc>
      </w:tr>
      <w:tr>
        <w:tc>
          <w:tcPr>
            <w:tcW w:type="dxa" w:w="2520"/>
            <w:vAlign w:val="top"/>
          </w:tcPr>
          <w:p>
            <w:r>
              <w:rPr>
                <w:sz w:val="15"/>
              </w:rPr>
              <w:t>AAM telemedicine</w:t>
            </w:r>
          </w:p>
        </w:tc>
        <w:tc>
          <w:tcPr>
            <w:tcW w:type="dxa" w:w="2520"/>
            <w:vAlign w:val="top"/>
          </w:tcPr>
          <w:p>
            <w:r>
              <w:rPr>
                <w:sz w:val="15"/>
              </w:rPr>
              <w:t>eSanjeevani/hub-spoke</w:t>
            </w:r>
          </w:p>
        </w:tc>
        <w:tc>
          <w:tcPr>
            <w:tcW w:type="dxa" w:w="2520"/>
            <w:vAlign w:val="top"/>
          </w:tcPr>
          <w:p>
            <w:r>
              <w:rPr>
                <w:sz w:val="15"/>
              </w:rPr>
              <w:t>Consultation</w:t>
            </w:r>
          </w:p>
        </w:tc>
        <w:tc>
          <w:tcPr>
            <w:tcW w:type="dxa" w:w="2520"/>
            <w:vAlign w:val="top"/>
          </w:tcPr>
          <w:p>
            <w:r>
              <w:rPr>
                <w:sz w:val="15"/>
              </w:rPr>
              <w:t>Pre/post-consult orchestration</w:t>
            </w:r>
          </w:p>
        </w:tc>
      </w:tr>
      <w:tr>
        <w:tc>
          <w:tcPr>
            <w:tcW w:type="dxa" w:w="2520"/>
            <w:vAlign w:val="top"/>
          </w:tcPr>
          <w:p>
            <w:r>
              <w:rPr>
                <w:sz w:val="15"/>
              </w:rPr>
              <w:t>MEMS 108</w:t>
            </w:r>
          </w:p>
        </w:tc>
        <w:tc>
          <w:tcPr>
            <w:tcW w:type="dxa" w:w="2520"/>
            <w:vAlign w:val="top"/>
          </w:tcPr>
          <w:p>
            <w:r>
              <w:rPr>
                <w:sz w:val="15"/>
              </w:rPr>
              <w:t>Emergency transport</w:t>
            </w:r>
          </w:p>
        </w:tc>
        <w:tc>
          <w:tcPr>
            <w:tcW w:type="dxa" w:w="2520"/>
            <w:vAlign w:val="top"/>
          </w:tcPr>
          <w:p>
            <w:r>
              <w:rPr>
                <w:sz w:val="15"/>
              </w:rPr>
              <w:t>Dispatch/vehicle/destination where exposed</w:t>
            </w:r>
          </w:p>
        </w:tc>
        <w:tc>
          <w:tcPr>
            <w:tcW w:type="dxa" w:w="2520"/>
            <w:vAlign w:val="top"/>
          </w:tcPr>
          <w:p>
            <w:r>
              <w:rPr>
                <w:sz w:val="15"/>
              </w:rPr>
              <w:t>Clinical referral coupling + arrival closure</w:t>
            </w:r>
          </w:p>
        </w:tc>
      </w:tr>
      <w:tr>
        <w:tc>
          <w:tcPr>
            <w:tcW w:type="dxa" w:w="2520"/>
            <w:vAlign w:val="top"/>
          </w:tcPr>
          <w:p>
            <w:r>
              <w:rPr>
                <w:sz w:val="15"/>
              </w:rPr>
              <w:t>MJPJAY/PM-JAY</w:t>
            </w:r>
          </w:p>
        </w:tc>
        <w:tc>
          <w:tcPr>
            <w:tcW w:type="dxa" w:w="2520"/>
            <w:vAlign w:val="top"/>
          </w:tcPr>
          <w:p>
            <w:r>
              <w:rPr>
                <w:sz w:val="15"/>
              </w:rPr>
              <w:t>Benefits</w:t>
            </w:r>
          </w:p>
        </w:tc>
        <w:tc>
          <w:tcPr>
            <w:tcW w:type="dxa" w:w="2520"/>
            <w:vAlign w:val="top"/>
          </w:tcPr>
          <w:p>
            <w:r>
              <w:rPr>
                <w:sz w:val="15"/>
              </w:rPr>
              <w:t>Eligibility/empanelment signal</w:t>
            </w:r>
          </w:p>
        </w:tc>
        <w:tc>
          <w:tcPr>
            <w:tcW w:type="dxa" w:w="2520"/>
            <w:vAlign w:val="top"/>
          </w:tcPr>
          <w:p>
            <w:r>
              <w:rPr>
                <w:sz w:val="15"/>
              </w:rPr>
              <w:t>Affordability-aware routing</w:t>
            </w:r>
          </w:p>
        </w:tc>
      </w:tr>
      <w:tr>
        <w:tc>
          <w:tcPr>
            <w:tcW w:type="dxa" w:w="2520"/>
            <w:vAlign w:val="top"/>
          </w:tcPr>
          <w:p>
            <w:r>
              <w:rPr>
                <w:sz w:val="15"/>
              </w:rPr>
              <w:t>DH/Medical college HIS</w:t>
            </w:r>
          </w:p>
        </w:tc>
        <w:tc>
          <w:tcPr>
            <w:tcW w:type="dxa" w:w="2520"/>
            <w:vAlign w:val="top"/>
          </w:tcPr>
          <w:p>
            <w:r>
              <w:rPr>
                <w:sz w:val="15"/>
              </w:rPr>
              <w:t>State/facility</w:t>
            </w:r>
          </w:p>
        </w:tc>
        <w:tc>
          <w:tcPr>
            <w:tcW w:type="dxa" w:w="2520"/>
            <w:vAlign w:val="top"/>
          </w:tcPr>
          <w:p>
            <w:r>
              <w:rPr>
                <w:sz w:val="15"/>
              </w:rPr>
              <w:t>Encounter/result/discharge</w:t>
            </w:r>
          </w:p>
        </w:tc>
        <w:tc>
          <w:tcPr>
            <w:tcW w:type="dxa" w:w="2520"/>
            <w:vAlign w:val="top"/>
          </w:tcPr>
          <w:p>
            <w:r>
              <w:rPr>
                <w:sz w:val="15"/>
              </w:rPr>
              <w:t>Inter-hospital pathway tracking</w:t>
            </w:r>
          </w:p>
        </w:tc>
      </w:tr>
    </w:tbl>
    <w:p/>
    <w:p>
      <w:r>
        <w:t>Production caveat: Maharashtra’s explicit digital-health policy is an advantage but also a boundary condition. The new platform should complement the state EMR/HMIS roadmap, not create a parallel statewide patient record or duplicate the state’s planned inter-hospital journey capability.</w:t>
      </w:r>
    </w:p>
    <w:p>
      <w:pPr>
        <w:pStyle w:val="Heading1"/>
      </w:pPr>
      <w:r>
        <w:t>9. Government onboarding, procurement and governance</w:t>
      </w:r>
    </w:p>
    <w:p>
      <w:r>
        <w:t>A technically correct prototype can still fail if there is no operational owner. A production pilot needs a named state sponsor, district owner, facility champions, data-protection/security owner, integration owner and clinical governance committee.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DEDED"/>
            <w:vAlign w:val="center"/>
          </w:tcPr>
          <w:p>
            <w:r>
              <w:rPr>
                <w:b/>
                <w:sz w:val="16"/>
              </w:rPr>
              <w:t>Workstream</w:t>
            </w:r>
          </w:p>
        </w:tc>
        <w:tc>
          <w:tcPr>
            <w:tcW w:type="dxa" w:w="3360"/>
            <w:shd w:fill="EDEDED"/>
            <w:vAlign w:val="center"/>
          </w:tcPr>
          <w:p>
            <w:r>
              <w:rPr>
                <w:b/>
                <w:sz w:val="16"/>
              </w:rPr>
              <w:t>Owner to establish</w:t>
            </w:r>
          </w:p>
        </w:tc>
        <w:tc>
          <w:tcPr>
            <w:tcW w:type="dxa" w:w="3360"/>
            <w:shd w:fill="EDEDED"/>
            <w:vAlign w:val="center"/>
          </w:tcPr>
          <w:p>
            <w:r>
              <w:rPr>
                <w:b/>
                <w:sz w:val="16"/>
              </w:rPr>
              <w:t>Required decision</w:t>
            </w:r>
          </w:p>
        </w:tc>
      </w:tr>
      <w:tr>
        <w:tc>
          <w:tcPr>
            <w:tcW w:type="dxa" w:w="3360"/>
            <w:vAlign w:val="top"/>
          </w:tcPr>
          <w:p>
            <w:r>
              <w:rPr>
                <w:sz w:val="15"/>
              </w:rPr>
              <w:t>Programme sponsorship</w:t>
            </w:r>
          </w:p>
        </w:tc>
        <w:tc>
          <w:tcPr>
            <w:tcW w:type="dxa" w:w="3360"/>
            <w:vAlign w:val="top"/>
          </w:tcPr>
          <w:p>
            <w:r>
              <w:rPr>
                <w:sz w:val="15"/>
              </w:rPr>
              <w:t>State Health Department / NHM</w:t>
            </w:r>
          </w:p>
        </w:tc>
        <w:tc>
          <w:tcPr>
            <w:tcW w:type="dxa" w:w="3360"/>
            <w:vAlign w:val="top"/>
          </w:tcPr>
          <w:p>
            <w:r>
              <w:rPr>
                <w:sz w:val="15"/>
              </w:rPr>
              <w:t>Pilot scope, geography, target conditions</w:t>
            </w:r>
          </w:p>
        </w:tc>
      </w:tr>
      <w:tr>
        <w:tc>
          <w:tcPr>
            <w:tcW w:type="dxa" w:w="3360"/>
            <w:vAlign w:val="top"/>
          </w:tcPr>
          <w:p>
            <w:r>
              <w:rPr>
                <w:sz w:val="15"/>
              </w:rPr>
              <w:t>ABDM onboarding</w:t>
            </w:r>
          </w:p>
        </w:tc>
        <w:tc>
          <w:tcPr>
            <w:tcW w:type="dxa" w:w="3360"/>
            <w:vAlign w:val="top"/>
          </w:tcPr>
          <w:p>
            <w:r>
              <w:rPr>
                <w:sz w:val="15"/>
              </w:rPr>
              <w:t>Product integration team + NHA process</w:t>
            </w:r>
          </w:p>
        </w:tc>
        <w:tc>
          <w:tcPr>
            <w:tcW w:type="dxa" w:w="3360"/>
            <w:vAlign w:val="top"/>
          </w:tcPr>
          <w:p>
            <w:r>
              <w:rPr>
                <w:sz w:val="15"/>
              </w:rPr>
              <w:t>Sandbox, testing, security audit, production keys</w:t>
            </w:r>
          </w:p>
        </w:tc>
      </w:tr>
      <w:tr>
        <w:tc>
          <w:tcPr>
            <w:tcW w:type="dxa" w:w="3360"/>
            <w:vAlign w:val="top"/>
          </w:tcPr>
          <w:p>
            <w:r>
              <w:rPr>
                <w:sz w:val="15"/>
              </w:rPr>
              <w:t>State integration</w:t>
            </w:r>
          </w:p>
        </w:tc>
        <w:tc>
          <w:tcPr>
            <w:tcW w:type="dxa" w:w="3360"/>
            <w:vAlign w:val="top"/>
          </w:tcPr>
          <w:p>
            <w:r>
              <w:rPr>
                <w:sz w:val="15"/>
              </w:rPr>
              <w:t>State health IT authority</w:t>
            </w:r>
          </w:p>
        </w:tc>
        <w:tc>
          <w:tcPr>
            <w:tcW w:type="dxa" w:w="3360"/>
            <w:vAlign w:val="top"/>
          </w:tcPr>
          <w:p>
            <w:r>
              <w:rPr>
                <w:sz w:val="15"/>
              </w:rPr>
              <w:t>API/adapter access, data-sharing agreement, support SLA</w:t>
            </w:r>
          </w:p>
        </w:tc>
      </w:tr>
      <w:tr>
        <w:tc>
          <w:tcPr>
            <w:tcW w:type="dxa" w:w="3360"/>
            <w:vAlign w:val="top"/>
          </w:tcPr>
          <w:p>
            <w:r>
              <w:rPr>
                <w:sz w:val="15"/>
              </w:rPr>
              <w:t>Clinical governance</w:t>
            </w:r>
          </w:p>
        </w:tc>
        <w:tc>
          <w:tcPr>
            <w:tcW w:type="dxa" w:w="3360"/>
            <w:vAlign w:val="top"/>
          </w:tcPr>
          <w:p>
            <w:r>
              <w:rPr>
                <w:sz w:val="15"/>
              </w:rPr>
              <w:t>Medical director/clinical committee</w:t>
            </w:r>
          </w:p>
        </w:tc>
        <w:tc>
          <w:tcPr>
            <w:tcW w:type="dxa" w:w="3360"/>
            <w:vAlign w:val="top"/>
          </w:tcPr>
          <w:p>
            <w:r>
              <w:rPr>
                <w:sz w:val="15"/>
              </w:rPr>
              <w:t>Approved protocols, escalation, override policy</w:t>
            </w:r>
          </w:p>
        </w:tc>
      </w:tr>
      <w:tr>
        <w:tc>
          <w:tcPr>
            <w:tcW w:type="dxa" w:w="3360"/>
            <w:vAlign w:val="top"/>
          </w:tcPr>
          <w:p>
            <w:r>
              <w:rPr>
                <w:sz w:val="15"/>
              </w:rPr>
              <w:t>Privacy/security</w:t>
            </w:r>
          </w:p>
        </w:tc>
        <w:tc>
          <w:tcPr>
            <w:tcW w:type="dxa" w:w="3360"/>
            <w:vAlign w:val="top"/>
          </w:tcPr>
          <w:p>
            <w:r>
              <w:rPr>
                <w:sz w:val="15"/>
              </w:rPr>
              <w:t>State/DPO/security authority as applicable</w:t>
            </w:r>
          </w:p>
        </w:tc>
        <w:tc>
          <w:tcPr>
            <w:tcW w:type="dxa" w:w="3360"/>
            <w:vAlign w:val="top"/>
          </w:tcPr>
          <w:p>
            <w:r>
              <w:rPr>
                <w:sz w:val="15"/>
              </w:rPr>
              <w:t>Roles, DPIA, retention, breach process</w:t>
            </w:r>
          </w:p>
        </w:tc>
      </w:tr>
      <w:tr>
        <w:tc>
          <w:tcPr>
            <w:tcW w:type="dxa" w:w="3360"/>
            <w:vAlign w:val="top"/>
          </w:tcPr>
          <w:p>
            <w:r>
              <w:rPr>
                <w:sz w:val="15"/>
              </w:rPr>
              <w:t>Facility adoption</w:t>
            </w:r>
          </w:p>
        </w:tc>
        <w:tc>
          <w:tcPr>
            <w:tcW w:type="dxa" w:w="3360"/>
            <w:vAlign w:val="top"/>
          </w:tcPr>
          <w:p>
            <w:r>
              <w:rPr>
                <w:sz w:val="15"/>
              </w:rPr>
              <w:t>District/facility leadership</w:t>
            </w:r>
          </w:p>
        </w:tc>
        <w:tc>
          <w:tcPr>
            <w:tcW w:type="dxa" w:w="3360"/>
            <w:vAlign w:val="top"/>
          </w:tcPr>
          <w:p>
            <w:r>
              <w:rPr>
                <w:sz w:val="15"/>
              </w:rPr>
              <w:t>User roles, training, operational SOP</w:t>
            </w:r>
          </w:p>
        </w:tc>
      </w:tr>
      <w:tr>
        <w:tc>
          <w:tcPr>
            <w:tcW w:type="dxa" w:w="3360"/>
            <w:vAlign w:val="top"/>
          </w:tcPr>
          <w:p>
            <w:r>
              <w:rPr>
                <w:sz w:val="15"/>
              </w:rPr>
              <w:t>Procurement</w:t>
            </w:r>
          </w:p>
        </w:tc>
        <w:tc>
          <w:tcPr>
            <w:tcW w:type="dxa" w:w="3360"/>
            <w:vAlign w:val="top"/>
          </w:tcPr>
          <w:p>
            <w:r>
              <w:rPr>
                <w:sz w:val="15"/>
              </w:rPr>
              <w:t>Government procurement/legal team</w:t>
            </w:r>
          </w:p>
        </w:tc>
        <w:tc>
          <w:tcPr>
            <w:tcW w:type="dxa" w:w="3360"/>
            <w:vAlign w:val="top"/>
          </w:tcPr>
          <w:p>
            <w:r>
              <w:rPr>
                <w:sz w:val="15"/>
              </w:rPr>
              <w:t>Hosting, support, licensing, VAPT, AMC/SLA</w:t>
            </w:r>
          </w:p>
        </w:tc>
      </w:tr>
      <w:tr>
        <w:tc>
          <w:tcPr>
            <w:tcW w:type="dxa" w:w="3360"/>
            <w:vAlign w:val="top"/>
          </w:tcPr>
          <w:p>
            <w:r>
              <w:rPr>
                <w:sz w:val="15"/>
              </w:rPr>
              <w:t>Monitoring/evaluation</w:t>
            </w:r>
          </w:p>
        </w:tc>
        <w:tc>
          <w:tcPr>
            <w:tcW w:type="dxa" w:w="3360"/>
            <w:vAlign w:val="top"/>
          </w:tcPr>
          <w:p>
            <w:r>
              <w:rPr>
                <w:sz w:val="15"/>
              </w:rPr>
              <w:t>Programme evaluation team</w:t>
            </w:r>
          </w:p>
        </w:tc>
        <w:tc>
          <w:tcPr>
            <w:tcW w:type="dxa" w:w="3360"/>
            <w:vAlign w:val="top"/>
          </w:tcPr>
          <w:p>
            <w:r>
              <w:rPr>
                <w:sz w:val="15"/>
              </w:rPr>
              <w:t>Baseline, outcome KPIs, pilot methodology</w:t>
            </w:r>
          </w:p>
        </w:tc>
      </w:tr>
    </w:tbl>
    <w:p/>
    <w:p>
      <w:pPr>
        <w:pStyle w:val="Heading1"/>
      </w:pPr>
      <w:r>
        <w:t>10. Production risk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EDEDED"/>
            <w:vAlign w:val="center"/>
          </w:tcPr>
          <w:p>
            <w:r>
              <w:rPr>
                <w:b/>
                <w:sz w:val="16"/>
              </w:rPr>
              <w:t>Risk</w:t>
            </w:r>
          </w:p>
        </w:tc>
        <w:tc>
          <w:tcPr>
            <w:tcW w:type="dxa" w:w="2016"/>
            <w:shd w:fill="EDEDED"/>
            <w:vAlign w:val="center"/>
          </w:tcPr>
          <w:p>
            <w:r>
              <w:rPr>
                <w:b/>
                <w:sz w:val="16"/>
              </w:rPr>
              <w:t>Likelihood</w:t>
            </w:r>
          </w:p>
        </w:tc>
        <w:tc>
          <w:tcPr>
            <w:tcW w:type="dxa" w:w="2016"/>
            <w:shd w:fill="EDEDED"/>
            <w:vAlign w:val="center"/>
          </w:tcPr>
          <w:p>
            <w:r>
              <w:rPr>
                <w:b/>
                <w:sz w:val="16"/>
              </w:rPr>
              <w:t>Impact</w:t>
            </w:r>
          </w:p>
        </w:tc>
        <w:tc>
          <w:tcPr>
            <w:tcW w:type="dxa" w:w="2016"/>
            <w:shd w:fill="EDEDED"/>
            <w:vAlign w:val="center"/>
          </w:tcPr>
          <w:p>
            <w:r>
              <w:rPr>
                <w:b/>
                <w:sz w:val="16"/>
              </w:rPr>
              <w:t>Mitigation</w:t>
            </w:r>
          </w:p>
        </w:tc>
        <w:tc>
          <w:tcPr>
            <w:tcW w:type="dxa" w:w="2016"/>
            <w:shd w:fill="EDEDED"/>
            <w:vAlign w:val="center"/>
          </w:tcPr>
          <w:p>
            <w:r>
              <w:rPr>
                <w:b/>
                <w:sz w:val="16"/>
              </w:rPr>
              <w:t>Go/no-go</w:t>
            </w:r>
          </w:p>
        </w:tc>
      </w:tr>
      <w:tr>
        <w:tc>
          <w:tcPr>
            <w:tcW w:type="dxa" w:w="2016"/>
            <w:vAlign w:val="top"/>
          </w:tcPr>
          <w:p>
            <w:r>
              <w:rPr>
                <w:sz w:val="15"/>
              </w:rPr>
              <w:t>Government API access unavailable</w:t>
            </w:r>
          </w:p>
        </w:tc>
        <w:tc>
          <w:tcPr>
            <w:tcW w:type="dxa" w:w="2016"/>
            <w:vAlign w:val="top"/>
          </w:tcPr>
          <w:p>
            <w:r>
              <w:rPr>
                <w:sz w:val="15"/>
              </w:rPr>
              <w:t>High</w:t>
            </w:r>
          </w:p>
        </w:tc>
        <w:tc>
          <w:tcPr>
            <w:tcW w:type="dxa" w:w="2016"/>
            <w:vAlign w:val="top"/>
          </w:tcPr>
          <w:p>
            <w:r>
              <w:rPr>
                <w:sz w:val="15"/>
              </w:rPr>
              <w:t>High</w:t>
            </w:r>
          </w:p>
        </w:tc>
        <w:tc>
          <w:tcPr>
            <w:tcW w:type="dxa" w:w="2016"/>
            <w:vAlign w:val="top"/>
          </w:tcPr>
          <w:p>
            <w:r>
              <w:rPr>
                <w:sz w:val="15"/>
              </w:rPr>
              <w:t>Design adapter + sandbox mocks; secure MoU/onboarding early</w:t>
            </w:r>
          </w:p>
        </w:tc>
        <w:tc>
          <w:tcPr>
            <w:tcW w:type="dxa" w:w="2016"/>
            <w:vAlign w:val="top"/>
          </w:tcPr>
          <w:p>
            <w:r>
              <w:rPr>
                <w:sz w:val="15"/>
              </w:rPr>
              <w:t>Go only for prototype; conditional for production</w:t>
            </w:r>
          </w:p>
        </w:tc>
      </w:tr>
      <w:tr>
        <w:tc>
          <w:tcPr>
            <w:tcW w:type="dxa" w:w="2016"/>
            <w:vAlign w:val="top"/>
          </w:tcPr>
          <w:p>
            <w:r>
              <w:rPr>
                <w:sz w:val="15"/>
              </w:rPr>
              <w:t>State system changes</w:t>
            </w:r>
          </w:p>
        </w:tc>
        <w:tc>
          <w:tcPr>
            <w:tcW w:type="dxa" w:w="2016"/>
            <w:vAlign w:val="top"/>
          </w:tcPr>
          <w:p>
            <w:r>
              <w:rPr>
                <w:sz w:val="15"/>
              </w:rPr>
              <w:t>Medium</w:t>
            </w:r>
          </w:p>
        </w:tc>
        <w:tc>
          <w:tcPr>
            <w:tcW w:type="dxa" w:w="2016"/>
            <w:vAlign w:val="top"/>
          </w:tcPr>
          <w:p>
            <w:r>
              <w:rPr>
                <w:sz w:val="15"/>
              </w:rPr>
              <w:t>High</w:t>
            </w:r>
          </w:p>
        </w:tc>
        <w:tc>
          <w:tcPr>
            <w:tcW w:type="dxa" w:w="2016"/>
            <w:vAlign w:val="top"/>
          </w:tcPr>
          <w:p>
            <w:r>
              <w:rPr>
                <w:sz w:val="15"/>
              </w:rPr>
              <w:t>Versioned adapters, contract tests, integration monitoring</w:t>
            </w:r>
          </w:p>
        </w:tc>
        <w:tc>
          <w:tcPr>
            <w:tcW w:type="dxa" w:w="2016"/>
            <w:vAlign w:val="top"/>
          </w:tcPr>
          <w:p>
            <w:r>
              <w:rPr>
                <w:sz w:val="15"/>
              </w:rPr>
              <w:t>Manage continuously</w:t>
            </w:r>
          </w:p>
        </w:tc>
      </w:tr>
      <w:tr>
        <w:tc>
          <w:tcPr>
            <w:tcW w:type="dxa" w:w="2016"/>
            <w:vAlign w:val="top"/>
          </w:tcPr>
          <w:p>
            <w:r>
              <w:rPr>
                <w:sz w:val="15"/>
              </w:rPr>
              <w:t>Wrong patient matching</w:t>
            </w:r>
          </w:p>
        </w:tc>
        <w:tc>
          <w:tcPr>
            <w:tcW w:type="dxa" w:w="2016"/>
            <w:vAlign w:val="top"/>
          </w:tcPr>
          <w:p>
            <w:r>
              <w:rPr>
                <w:sz w:val="15"/>
              </w:rPr>
              <w:t>Medium</w:t>
            </w:r>
          </w:p>
        </w:tc>
        <w:tc>
          <w:tcPr>
            <w:tcW w:type="dxa" w:w="2016"/>
            <w:vAlign w:val="top"/>
          </w:tcPr>
          <w:p>
            <w:r>
              <w:rPr>
                <w:sz w:val="15"/>
              </w:rPr>
              <w:t>Very high</w:t>
            </w:r>
          </w:p>
        </w:tc>
        <w:tc>
          <w:tcPr>
            <w:tcW w:type="dxa" w:w="2016"/>
            <w:vAlign w:val="top"/>
          </w:tcPr>
          <w:p>
            <w:r>
              <w:rPr>
                <w:sz w:val="15"/>
              </w:rPr>
              <w:t>ABHA/approved identifiers + deterministic matching + human review</w:t>
            </w:r>
          </w:p>
        </w:tc>
        <w:tc>
          <w:tcPr>
            <w:tcW w:type="dxa" w:w="2016"/>
            <w:vAlign w:val="top"/>
          </w:tcPr>
          <w:p>
            <w:r>
              <w:rPr>
                <w:sz w:val="15"/>
              </w:rPr>
              <w:t>Hard gate</w:t>
            </w:r>
          </w:p>
        </w:tc>
      </w:tr>
      <w:tr>
        <w:tc>
          <w:tcPr>
            <w:tcW w:type="dxa" w:w="2016"/>
            <w:vAlign w:val="top"/>
          </w:tcPr>
          <w:p>
            <w:r>
              <w:rPr>
                <w:sz w:val="15"/>
              </w:rPr>
              <w:t>Incorrect AI triage</w:t>
            </w:r>
          </w:p>
        </w:tc>
        <w:tc>
          <w:tcPr>
            <w:tcW w:type="dxa" w:w="2016"/>
            <w:vAlign w:val="top"/>
          </w:tcPr>
          <w:p>
            <w:r>
              <w:rPr>
                <w:sz w:val="15"/>
              </w:rPr>
              <w:t>Medium</w:t>
            </w:r>
          </w:p>
        </w:tc>
        <w:tc>
          <w:tcPr>
            <w:tcW w:type="dxa" w:w="2016"/>
            <w:vAlign w:val="top"/>
          </w:tcPr>
          <w:p>
            <w:r>
              <w:rPr>
                <w:sz w:val="15"/>
              </w:rPr>
              <w:t>Very high</w:t>
            </w:r>
          </w:p>
        </w:tc>
        <w:tc>
          <w:tcPr>
            <w:tcW w:type="dxa" w:w="2016"/>
            <w:vAlign w:val="top"/>
          </w:tcPr>
          <w:p>
            <w:r>
              <w:rPr>
                <w:sz w:val="15"/>
              </w:rPr>
              <w:t>Rules first, human approval, safety net, clinical validation</w:t>
            </w:r>
          </w:p>
        </w:tc>
        <w:tc>
          <w:tcPr>
            <w:tcW w:type="dxa" w:w="2016"/>
            <w:vAlign w:val="top"/>
          </w:tcPr>
          <w:p>
            <w:r>
              <w:rPr>
                <w:sz w:val="15"/>
              </w:rPr>
              <w:t>Hard gate</w:t>
            </w:r>
          </w:p>
        </w:tc>
      </w:tr>
      <w:tr>
        <w:tc>
          <w:tcPr>
            <w:tcW w:type="dxa" w:w="2016"/>
            <w:vAlign w:val="top"/>
          </w:tcPr>
          <w:p>
            <w:r>
              <w:rPr>
                <w:sz w:val="15"/>
              </w:rPr>
              <w:t>Connectivity loss</w:t>
            </w:r>
          </w:p>
        </w:tc>
        <w:tc>
          <w:tcPr>
            <w:tcW w:type="dxa" w:w="2016"/>
            <w:vAlign w:val="top"/>
          </w:tcPr>
          <w:p>
            <w:r>
              <w:rPr>
                <w:sz w:val="15"/>
              </w:rPr>
              <w:t>High</w:t>
            </w:r>
          </w:p>
        </w:tc>
        <w:tc>
          <w:tcPr>
            <w:tcW w:type="dxa" w:w="2016"/>
            <w:vAlign w:val="top"/>
          </w:tcPr>
          <w:p>
            <w:r>
              <w:rPr>
                <w:sz w:val="15"/>
              </w:rPr>
              <w:t>High</w:t>
            </w:r>
          </w:p>
        </w:tc>
        <w:tc>
          <w:tcPr>
            <w:tcW w:type="dxa" w:w="2016"/>
            <w:vAlign w:val="top"/>
          </w:tcPr>
          <w:p>
            <w:r>
              <w:rPr>
                <w:sz w:val="15"/>
              </w:rPr>
              <w:t>Offline event queue + voice/phone fallback</w:t>
            </w:r>
          </w:p>
        </w:tc>
        <w:tc>
          <w:tcPr>
            <w:tcW w:type="dxa" w:w="2016"/>
            <w:vAlign w:val="top"/>
          </w:tcPr>
          <w:p>
            <w:r>
              <w:rPr>
                <w:sz w:val="15"/>
              </w:rPr>
              <w:t>Required</w:t>
            </w:r>
          </w:p>
        </w:tc>
      </w:tr>
      <w:tr>
        <w:tc>
          <w:tcPr>
            <w:tcW w:type="dxa" w:w="2016"/>
            <w:vAlign w:val="top"/>
          </w:tcPr>
          <w:p>
            <w:r>
              <w:rPr>
                <w:sz w:val="15"/>
              </w:rPr>
              <w:t>Data breach</w:t>
            </w:r>
          </w:p>
        </w:tc>
        <w:tc>
          <w:tcPr>
            <w:tcW w:type="dxa" w:w="2016"/>
            <w:vAlign w:val="top"/>
          </w:tcPr>
          <w:p>
            <w:r>
              <w:rPr>
                <w:sz w:val="15"/>
              </w:rPr>
              <w:t>Medium</w:t>
            </w:r>
          </w:p>
        </w:tc>
        <w:tc>
          <w:tcPr>
            <w:tcW w:type="dxa" w:w="2016"/>
            <w:vAlign w:val="top"/>
          </w:tcPr>
          <w:p>
            <w:r>
              <w:rPr>
                <w:sz w:val="15"/>
              </w:rPr>
              <w:t>Very high</w:t>
            </w:r>
          </w:p>
        </w:tc>
        <w:tc>
          <w:tcPr>
            <w:tcW w:type="dxa" w:w="2016"/>
            <w:vAlign w:val="top"/>
          </w:tcPr>
          <w:p>
            <w:r>
              <w:rPr>
                <w:sz w:val="15"/>
              </w:rPr>
              <w:t>Encryption, IAM, VAPT, SIEM, IRP</w:t>
            </w:r>
          </w:p>
        </w:tc>
        <w:tc>
          <w:tcPr>
            <w:tcW w:type="dxa" w:w="2016"/>
            <w:vAlign w:val="top"/>
          </w:tcPr>
          <w:p>
            <w:r>
              <w:rPr>
                <w:sz w:val="15"/>
              </w:rPr>
              <w:t>Hard gate</w:t>
            </w:r>
          </w:p>
        </w:tc>
      </w:tr>
      <w:tr>
        <w:tc>
          <w:tcPr>
            <w:tcW w:type="dxa" w:w="2016"/>
            <w:vAlign w:val="top"/>
          </w:tcPr>
          <w:p>
            <w:r>
              <w:rPr>
                <w:sz w:val="15"/>
              </w:rPr>
              <w:t>Frontline workload increases</w:t>
            </w:r>
          </w:p>
        </w:tc>
        <w:tc>
          <w:tcPr>
            <w:tcW w:type="dxa" w:w="2016"/>
            <w:vAlign w:val="top"/>
          </w:tcPr>
          <w:p>
            <w:r>
              <w:rPr>
                <w:sz w:val="15"/>
              </w:rPr>
              <w:t>Medium</w:t>
            </w:r>
          </w:p>
        </w:tc>
        <w:tc>
          <w:tcPr>
            <w:tcW w:type="dxa" w:w="2016"/>
            <w:vAlign w:val="top"/>
          </w:tcPr>
          <w:p>
            <w:r>
              <w:rPr>
                <w:sz w:val="15"/>
              </w:rPr>
              <w:t>High</w:t>
            </w:r>
          </w:p>
        </w:tc>
        <w:tc>
          <w:tcPr>
            <w:tcW w:type="dxa" w:w="2016"/>
            <w:vAlign w:val="top"/>
          </w:tcPr>
          <w:p>
            <w:r>
              <w:rPr>
                <w:sz w:val="15"/>
              </w:rPr>
              <w:t>Single workflow, automation, usability testing, usage metrics</w:t>
            </w:r>
          </w:p>
        </w:tc>
        <w:tc>
          <w:tcPr>
            <w:tcW w:type="dxa" w:w="2016"/>
            <w:vAlign w:val="top"/>
          </w:tcPr>
          <w:p>
            <w:r>
              <w:rPr>
                <w:sz w:val="15"/>
              </w:rPr>
              <w:t>Hard gate</w:t>
            </w:r>
          </w:p>
        </w:tc>
      </w:tr>
      <w:tr>
        <w:tc>
          <w:tcPr>
            <w:tcW w:type="dxa" w:w="2016"/>
            <w:vAlign w:val="top"/>
          </w:tcPr>
          <w:p>
            <w:r>
              <w:rPr>
                <w:sz w:val="15"/>
              </w:rPr>
              <w:t>Stale facility availability</w:t>
            </w:r>
          </w:p>
        </w:tc>
        <w:tc>
          <w:tcPr>
            <w:tcW w:type="dxa" w:w="2016"/>
            <w:vAlign w:val="top"/>
          </w:tcPr>
          <w:p>
            <w:r>
              <w:rPr>
                <w:sz w:val="15"/>
              </w:rPr>
              <w:t>High</w:t>
            </w:r>
          </w:p>
        </w:tc>
        <w:tc>
          <w:tcPr>
            <w:tcW w:type="dxa" w:w="2016"/>
            <w:vAlign w:val="top"/>
          </w:tcPr>
          <w:p>
            <w:r>
              <w:rPr>
                <w:sz w:val="15"/>
              </w:rPr>
              <w:t>High</w:t>
            </w:r>
          </w:p>
        </w:tc>
        <w:tc>
          <w:tcPr>
            <w:tcW w:type="dxa" w:w="2016"/>
            <w:vAlign w:val="top"/>
          </w:tcPr>
          <w:p>
            <w:r>
              <w:rPr>
                <w:sz w:val="15"/>
              </w:rPr>
              <w:t>Timestamp/freshness indicator and conservative routing</w:t>
            </w:r>
          </w:p>
        </w:tc>
        <w:tc>
          <w:tcPr>
            <w:tcW w:type="dxa" w:w="2016"/>
            <w:vAlign w:val="top"/>
          </w:tcPr>
          <w:p>
            <w:r>
              <w:rPr>
                <w:sz w:val="15"/>
              </w:rPr>
              <w:t>Required</w:t>
            </w:r>
          </w:p>
        </w:tc>
      </w:tr>
      <w:tr>
        <w:tc>
          <w:tcPr>
            <w:tcW w:type="dxa" w:w="2016"/>
            <w:vAlign w:val="top"/>
          </w:tcPr>
          <w:p>
            <w:r>
              <w:rPr>
                <w:sz w:val="15"/>
              </w:rPr>
              <w:t>Duplicate records/data entry</w:t>
            </w:r>
          </w:p>
        </w:tc>
        <w:tc>
          <w:tcPr>
            <w:tcW w:type="dxa" w:w="2016"/>
            <w:vAlign w:val="top"/>
          </w:tcPr>
          <w:p>
            <w:r>
              <w:rPr>
                <w:sz w:val="15"/>
              </w:rPr>
              <w:t>Medium</w:t>
            </w:r>
          </w:p>
        </w:tc>
        <w:tc>
          <w:tcPr>
            <w:tcW w:type="dxa" w:w="2016"/>
            <w:vAlign w:val="top"/>
          </w:tcPr>
          <w:p>
            <w:r>
              <w:rPr>
                <w:sz w:val="15"/>
              </w:rPr>
              <w:t>High</w:t>
            </w:r>
          </w:p>
        </w:tc>
        <w:tc>
          <w:tcPr>
            <w:tcW w:type="dxa" w:w="2016"/>
            <w:vAlign w:val="top"/>
          </w:tcPr>
          <w:p>
            <w:r>
              <w:rPr>
                <w:sz w:val="15"/>
              </w:rPr>
              <w:t>Source-of-truth model + idempotent events</w:t>
            </w:r>
          </w:p>
        </w:tc>
        <w:tc>
          <w:tcPr>
            <w:tcW w:type="dxa" w:w="2016"/>
            <w:vAlign w:val="top"/>
          </w:tcPr>
          <w:p>
            <w:r>
              <w:rPr>
                <w:sz w:val="15"/>
              </w:rPr>
              <w:t>Required</w:t>
            </w:r>
          </w:p>
        </w:tc>
      </w:tr>
      <w:tr>
        <w:tc>
          <w:tcPr>
            <w:tcW w:type="dxa" w:w="2016"/>
            <w:vAlign w:val="top"/>
          </w:tcPr>
          <w:p>
            <w:r>
              <w:rPr>
                <w:sz w:val="15"/>
              </w:rPr>
              <w:t>Referral status falsely marked complete</w:t>
            </w:r>
          </w:p>
        </w:tc>
        <w:tc>
          <w:tcPr>
            <w:tcW w:type="dxa" w:w="2016"/>
            <w:vAlign w:val="top"/>
          </w:tcPr>
          <w:p>
            <w:r>
              <w:rPr>
                <w:sz w:val="15"/>
              </w:rPr>
              <w:t>Medium</w:t>
            </w:r>
          </w:p>
        </w:tc>
        <w:tc>
          <w:tcPr>
            <w:tcW w:type="dxa" w:w="2016"/>
            <w:vAlign w:val="top"/>
          </w:tcPr>
          <w:p>
            <w:r>
              <w:rPr>
                <w:sz w:val="15"/>
              </w:rPr>
              <w:t>Very high</w:t>
            </w:r>
          </w:p>
        </w:tc>
        <w:tc>
          <w:tcPr>
            <w:tcW w:type="dxa" w:w="2016"/>
            <w:vAlign w:val="top"/>
          </w:tcPr>
          <w:p>
            <w:r>
              <w:rPr>
                <w:sz w:val="15"/>
              </w:rPr>
              <w:t>Evidence-based state transitions and receiving-facility confirmation</w:t>
            </w:r>
          </w:p>
        </w:tc>
        <w:tc>
          <w:tcPr>
            <w:tcW w:type="dxa" w:w="2016"/>
            <w:vAlign w:val="top"/>
          </w:tcPr>
          <w:p>
            <w:r>
              <w:rPr>
                <w:sz w:val="15"/>
              </w:rPr>
              <w:t>Hard gate</w:t>
            </w:r>
          </w:p>
        </w:tc>
      </w:tr>
      <w:tr>
        <w:tc>
          <w:tcPr>
            <w:tcW w:type="dxa" w:w="2016"/>
            <w:vAlign w:val="top"/>
          </w:tcPr>
          <w:p>
            <w:r>
              <w:rPr>
                <w:sz w:val="15"/>
              </w:rPr>
              <w:t>Vendor lock-in</w:t>
            </w:r>
          </w:p>
        </w:tc>
        <w:tc>
          <w:tcPr>
            <w:tcW w:type="dxa" w:w="2016"/>
            <w:vAlign w:val="top"/>
          </w:tcPr>
          <w:p>
            <w:r>
              <w:rPr>
                <w:sz w:val="15"/>
              </w:rPr>
              <w:t>Medium</w:t>
            </w:r>
          </w:p>
        </w:tc>
        <w:tc>
          <w:tcPr>
            <w:tcW w:type="dxa" w:w="2016"/>
            <w:vAlign w:val="top"/>
          </w:tcPr>
          <w:p>
            <w:r>
              <w:rPr>
                <w:sz w:val="15"/>
              </w:rPr>
              <w:t>Medium</w:t>
            </w:r>
          </w:p>
        </w:tc>
        <w:tc>
          <w:tcPr>
            <w:tcW w:type="dxa" w:w="2016"/>
            <w:vAlign w:val="top"/>
          </w:tcPr>
          <w:p>
            <w:r>
              <w:rPr>
                <w:sz w:val="15"/>
              </w:rPr>
              <w:t>Open standards, portable adapters, documented interfaces</w:t>
            </w:r>
          </w:p>
        </w:tc>
        <w:tc>
          <w:tcPr>
            <w:tcW w:type="dxa" w:w="2016"/>
            <w:vAlign w:val="top"/>
          </w:tcPr>
          <w:p>
            <w:r>
              <w:rPr>
                <w:sz w:val="15"/>
              </w:rPr>
              <w:t>Preferred</w:t>
            </w:r>
          </w:p>
        </w:tc>
      </w:tr>
      <w:tr>
        <w:tc>
          <w:tcPr>
            <w:tcW w:type="dxa" w:w="2016"/>
            <w:vAlign w:val="top"/>
          </w:tcPr>
          <w:p>
            <w:r>
              <w:rPr>
                <w:sz w:val="15"/>
              </w:rPr>
              <w:t>Scope creep into EHR replacement</w:t>
            </w:r>
          </w:p>
        </w:tc>
        <w:tc>
          <w:tcPr>
            <w:tcW w:type="dxa" w:w="2016"/>
            <w:vAlign w:val="top"/>
          </w:tcPr>
          <w:p>
            <w:r>
              <w:rPr>
                <w:sz w:val="15"/>
              </w:rPr>
              <w:t>High</w:t>
            </w:r>
          </w:p>
        </w:tc>
        <w:tc>
          <w:tcPr>
            <w:tcW w:type="dxa" w:w="2016"/>
            <w:vAlign w:val="top"/>
          </w:tcPr>
          <w:p>
            <w:r>
              <w:rPr>
                <w:sz w:val="15"/>
              </w:rPr>
              <w:t>High</w:t>
            </w:r>
          </w:p>
        </w:tc>
        <w:tc>
          <w:tcPr>
            <w:tcW w:type="dxa" w:w="2016"/>
            <w:vAlign w:val="top"/>
          </w:tcPr>
          <w:p>
            <w:r>
              <w:rPr>
                <w:sz w:val="15"/>
              </w:rPr>
              <w:t>Explicit build/integrate contract and architecture board</w:t>
            </w:r>
          </w:p>
        </w:tc>
        <w:tc>
          <w:tcPr>
            <w:tcW w:type="dxa" w:w="2016"/>
            <w:vAlign w:val="top"/>
          </w:tcPr>
          <w:p>
            <w:r>
              <w:rPr>
                <w:sz w:val="15"/>
              </w:rPr>
              <w:t>Hard gate</w:t>
            </w:r>
          </w:p>
        </w:tc>
      </w:tr>
    </w:tbl>
    <w:p/>
    <w:p>
      <w:pPr>
        <w:pStyle w:val="Heading1"/>
      </w:pPr>
      <w:r>
        <w:t>11. Recommended production-safe MVP</w:t>
      </w:r>
    </w:p>
    <w:p>
      <w:r>
        <w:t>The safest MVP is not “all rural healthcare.” It is one closed-loop referral journey with limited AI and strong human supervision.</w:t>
      </w:r>
    </w:p>
    <w:p>
      <w:pPr>
        <w:pStyle w:val="ListNumber"/>
      </w:pPr>
      <w:r>
        <w:t>Frontline-assisted patient registration/identity resolution using approved identifiers.</w:t>
      </w:r>
    </w:p>
    <w:p>
      <w:pPr>
        <w:pStyle w:val="ListNumber"/>
      </w:pPr>
      <w:r>
        <w:t>Structured triage with deterministic red-flag rules and clinician escalation.</w:t>
      </w:r>
    </w:p>
    <w:p>
      <w:pPr>
        <w:pStyle w:val="ListNumber"/>
      </w:pPr>
      <w:r>
        <w:t>Facility/service discovery using HFR/UHI/state data where available.</w:t>
      </w:r>
    </w:p>
    <w:p>
      <w:pPr>
        <w:pStyle w:val="ListNumber"/>
      </w:pPr>
      <w:r>
        <w:t>Referral creation with explicit state machine and owner.</w:t>
      </w:r>
    </w:p>
    <w:p>
      <w:pPr>
        <w:pStyle w:val="ListNumber"/>
      </w:pPr>
      <w:r>
        <w:t>Appointment coordination where an authorized interface exists.</w:t>
      </w:r>
    </w:p>
    <w:p>
      <w:pPr>
        <w:pStyle w:val="ListNumber"/>
      </w:pPr>
      <w:r>
        <w:t>Diagnostic coordination with manual/adapter fallback when no API exists.</w:t>
      </w:r>
    </w:p>
    <w:p>
      <w:pPr>
        <w:pStyle w:val="ListNumber"/>
      </w:pPr>
      <w:r>
        <w:t>Transport request/confirmation workflow using the appropriate state mechanism.</w:t>
      </w:r>
    </w:p>
    <w:p>
      <w:pPr>
        <w:pStyle w:val="ListNumber"/>
      </w:pPr>
      <w:r>
        <w:t>Receiving-facility arrival and consultation outcome capture.</w:t>
      </w:r>
    </w:p>
    <w:p>
      <w:pPr>
        <w:pStyle w:val="ListNumber"/>
      </w:pPr>
      <w:r>
        <w:t>Follow-up task generation and referral-closure evidence.</w:t>
      </w:r>
    </w:p>
    <w:p>
      <w:pPr>
        <w:pStyle w:val="ListNumber"/>
      </w:pPr>
      <w:r>
        <w:t>Operations dashboard showing referral leakage, delay causes and workload.</w:t>
      </w:r>
    </w:p>
    <w:p>
      <w:pPr>
        <w:pStyle w:val="ListNumber"/>
      </w:pPr>
      <w:r>
        <w:t>Offline-first mobile workflow for frontline workers.</w:t>
      </w:r>
    </w:p>
    <w:p>
      <w:pPr>
        <w:pStyle w:val="ListNumber"/>
      </w:pPr>
      <w:r>
        <w:t>Full audit/provenance trail from every external system touchpoint.</w:t>
      </w:r>
    </w:p>
    <w:p>
      <w:pPr>
        <w:pStyle w:val="Heading1"/>
      </w:pPr>
      <w:r>
        <w:t>12. Pilot KPIs and acceptance gates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sz w:val="16"/>
              </w:rPr>
              <w:t>KPI</w:t>
            </w:r>
          </w:p>
        </w:tc>
        <w:tc>
          <w:tcPr>
            <w:tcW w:type="dxa" w:w="2520"/>
            <w:shd w:fill="EDEDED"/>
            <w:vAlign w:val="center"/>
          </w:tcPr>
          <w:p>
            <w:r>
              <w:rPr>
                <w:b/>
                <w:sz w:val="16"/>
              </w:rPr>
              <w:t>Definition</w:t>
            </w:r>
          </w:p>
        </w:tc>
        <w:tc>
          <w:tcPr>
            <w:tcW w:type="dxa" w:w="2520"/>
            <w:shd w:fill="EDEDED"/>
            <w:vAlign w:val="center"/>
          </w:tcPr>
          <w:p>
            <w:r>
              <w:rPr>
                <w:b/>
                <w:sz w:val="16"/>
              </w:rPr>
              <w:t>Why it matters</w:t>
            </w:r>
          </w:p>
        </w:tc>
        <w:tc>
          <w:tcPr>
            <w:tcW w:type="dxa" w:w="2520"/>
            <w:shd w:fill="EDEDED"/>
            <w:vAlign w:val="center"/>
          </w:tcPr>
          <w:p>
            <w:r>
              <w:rPr>
                <w:b/>
                <w:sz w:val="16"/>
              </w:rPr>
              <w:t>Targeting approach</w:t>
            </w:r>
          </w:p>
        </w:tc>
      </w:tr>
      <w:tr>
        <w:tc>
          <w:tcPr>
            <w:tcW w:type="dxa" w:w="2520"/>
            <w:vAlign w:val="top"/>
          </w:tcPr>
          <w:p>
            <w:r>
              <w:rPr>
                <w:sz w:val="15"/>
              </w:rPr>
              <w:t>Referral closure rate</w:t>
            </w:r>
          </w:p>
        </w:tc>
        <w:tc>
          <w:tcPr>
            <w:tcW w:type="dxa" w:w="2520"/>
            <w:vAlign w:val="top"/>
          </w:tcPr>
          <w:p>
            <w:r>
              <w:rPr>
                <w:sz w:val="15"/>
              </w:rPr>
              <w:t>Completed referrals / created referrals</w:t>
            </w:r>
          </w:p>
        </w:tc>
        <w:tc>
          <w:tcPr>
            <w:tcW w:type="dxa" w:w="2520"/>
            <w:vAlign w:val="top"/>
          </w:tcPr>
          <w:p>
            <w:r>
              <w:rPr>
                <w:sz w:val="15"/>
              </w:rPr>
              <w:t>Primary outcome</w:t>
            </w:r>
          </w:p>
        </w:tc>
        <w:tc>
          <w:tcPr>
            <w:tcW w:type="dxa" w:w="2520"/>
            <w:vAlign w:val="top"/>
          </w:tcPr>
          <w:p>
            <w:r>
              <w:rPr>
                <w:sz w:val="15"/>
              </w:rPr>
              <w:t>Baseline first, then set improvement target</w:t>
            </w:r>
          </w:p>
        </w:tc>
      </w:tr>
      <w:tr>
        <w:tc>
          <w:tcPr>
            <w:tcW w:type="dxa" w:w="2520"/>
            <w:vAlign w:val="top"/>
          </w:tcPr>
          <w:p>
            <w:r>
              <w:rPr>
                <w:sz w:val="15"/>
              </w:rPr>
              <w:t>Time to specialist</w:t>
            </w:r>
          </w:p>
        </w:tc>
        <w:tc>
          <w:tcPr>
            <w:tcW w:type="dxa" w:w="2520"/>
            <w:vAlign w:val="top"/>
          </w:tcPr>
          <w:p>
            <w:r>
              <w:rPr>
                <w:sz w:val="15"/>
              </w:rPr>
              <w:t>Referral/need identified → specialist consultation</w:t>
            </w:r>
          </w:p>
        </w:tc>
        <w:tc>
          <w:tcPr>
            <w:tcW w:type="dxa" w:w="2520"/>
            <w:vAlign w:val="top"/>
          </w:tcPr>
          <w:p>
            <w:r>
              <w:rPr>
                <w:sz w:val="15"/>
              </w:rPr>
              <w:t>Access/timeliness</w:t>
            </w:r>
          </w:p>
        </w:tc>
        <w:tc>
          <w:tcPr>
            <w:tcW w:type="dxa" w:w="2520"/>
            <w:vAlign w:val="top"/>
          </w:tcPr>
          <w:p>
            <w:r>
              <w:rPr>
                <w:sz w:val="15"/>
              </w:rPr>
              <w:t>Compare with baseline</w:t>
            </w:r>
          </w:p>
        </w:tc>
      </w:tr>
      <w:tr>
        <w:tc>
          <w:tcPr>
            <w:tcW w:type="dxa" w:w="2520"/>
            <w:vAlign w:val="top"/>
          </w:tcPr>
          <w:p>
            <w:r>
              <w:rPr>
                <w:sz w:val="15"/>
              </w:rPr>
              <w:t>Diagnostic completion</w:t>
            </w:r>
          </w:p>
        </w:tc>
        <w:tc>
          <w:tcPr>
            <w:tcW w:type="dxa" w:w="2520"/>
            <w:vAlign w:val="top"/>
          </w:tcPr>
          <w:p>
            <w:r>
              <w:rPr>
                <w:sz w:val="15"/>
              </w:rPr>
              <w:t>Completed required tests / tests ordered</w:t>
            </w:r>
          </w:p>
        </w:tc>
        <w:tc>
          <w:tcPr>
            <w:tcW w:type="dxa" w:w="2520"/>
            <w:vAlign w:val="top"/>
          </w:tcPr>
          <w:p>
            <w:r>
              <w:rPr>
                <w:sz w:val="15"/>
              </w:rPr>
              <w:t>Continuity</w:t>
            </w:r>
          </w:p>
        </w:tc>
        <w:tc>
          <w:tcPr>
            <w:tcW w:type="dxa" w:w="2520"/>
            <w:vAlign w:val="top"/>
          </w:tcPr>
          <w:p>
            <w:r>
              <w:rPr>
                <w:sz w:val="15"/>
              </w:rPr>
              <w:t>Baseline + target</w:t>
            </w:r>
          </w:p>
        </w:tc>
      </w:tr>
      <w:tr>
        <w:tc>
          <w:tcPr>
            <w:tcW w:type="dxa" w:w="2520"/>
            <w:vAlign w:val="top"/>
          </w:tcPr>
          <w:p>
            <w:r>
              <w:rPr>
                <w:sz w:val="15"/>
              </w:rPr>
              <w:t>Medicine fulfilment</w:t>
            </w:r>
          </w:p>
        </w:tc>
        <w:tc>
          <w:tcPr>
            <w:tcW w:type="dxa" w:w="2520"/>
            <w:vAlign w:val="top"/>
          </w:tcPr>
          <w:p>
            <w:r>
              <w:rPr>
                <w:sz w:val="15"/>
              </w:rPr>
              <w:t>Prescriptions successfully obtained / eligible prescriptions</w:t>
            </w:r>
          </w:p>
        </w:tc>
        <w:tc>
          <w:tcPr>
            <w:tcW w:type="dxa" w:w="2520"/>
            <w:vAlign w:val="top"/>
          </w:tcPr>
          <w:p>
            <w:r>
              <w:rPr>
                <w:sz w:val="15"/>
              </w:rPr>
              <w:t>Continuity/affordability</w:t>
            </w:r>
          </w:p>
        </w:tc>
        <w:tc>
          <w:tcPr>
            <w:tcW w:type="dxa" w:w="2520"/>
            <w:vAlign w:val="top"/>
          </w:tcPr>
          <w:p>
            <w:r>
              <w:rPr>
                <w:sz w:val="15"/>
              </w:rPr>
              <w:t>Baseline + target</w:t>
            </w:r>
          </w:p>
        </w:tc>
      </w:tr>
      <w:tr>
        <w:tc>
          <w:tcPr>
            <w:tcW w:type="dxa" w:w="2520"/>
            <w:vAlign w:val="top"/>
          </w:tcPr>
          <w:p>
            <w:r>
              <w:rPr>
                <w:sz w:val="15"/>
              </w:rPr>
              <w:t>Follow-up completion</w:t>
            </w:r>
          </w:p>
        </w:tc>
        <w:tc>
          <w:tcPr>
            <w:tcW w:type="dxa" w:w="2520"/>
            <w:vAlign w:val="top"/>
          </w:tcPr>
          <w:p>
            <w:r>
              <w:rPr>
                <w:sz w:val="15"/>
              </w:rPr>
              <w:t>Completed follow-ups / due follow-ups</w:t>
            </w:r>
          </w:p>
        </w:tc>
        <w:tc>
          <w:tcPr>
            <w:tcW w:type="dxa" w:w="2520"/>
            <w:vAlign w:val="top"/>
          </w:tcPr>
          <w:p>
            <w:r>
              <w:rPr>
                <w:sz w:val="15"/>
              </w:rPr>
              <w:t>Longitudinal care</w:t>
            </w:r>
          </w:p>
        </w:tc>
        <w:tc>
          <w:tcPr>
            <w:tcW w:type="dxa" w:w="2520"/>
            <w:vAlign w:val="top"/>
          </w:tcPr>
          <w:p>
            <w:r>
              <w:rPr>
                <w:sz w:val="15"/>
              </w:rPr>
              <w:t>Baseline + target</w:t>
            </w:r>
          </w:p>
        </w:tc>
      </w:tr>
      <w:tr>
        <w:tc>
          <w:tcPr>
            <w:tcW w:type="dxa" w:w="2520"/>
            <w:vAlign w:val="top"/>
          </w:tcPr>
          <w:p>
            <w:r>
              <w:rPr>
                <w:sz w:val="15"/>
              </w:rPr>
              <w:t>Patient trips avoided</w:t>
            </w:r>
          </w:p>
        </w:tc>
        <w:tc>
          <w:tcPr>
            <w:tcW w:type="dxa" w:w="2520"/>
            <w:vAlign w:val="top"/>
          </w:tcPr>
          <w:p>
            <w:r>
              <w:rPr>
                <w:sz w:val="15"/>
              </w:rPr>
              <w:t>Relevant care steps completed remotely/locally instead of unnecessary travel</w:t>
            </w:r>
          </w:p>
        </w:tc>
        <w:tc>
          <w:tcPr>
            <w:tcW w:type="dxa" w:w="2520"/>
            <w:vAlign w:val="top"/>
          </w:tcPr>
          <w:p>
            <w:r>
              <w:rPr>
                <w:sz w:val="15"/>
              </w:rPr>
              <w:t>Access</w:t>
            </w:r>
          </w:p>
        </w:tc>
        <w:tc>
          <w:tcPr>
            <w:tcW w:type="dxa" w:w="2520"/>
            <w:vAlign w:val="top"/>
          </w:tcPr>
          <w:p>
            <w:r>
              <w:rPr>
                <w:sz w:val="15"/>
              </w:rPr>
              <w:t>Estimate only with defined protocol</w:t>
            </w:r>
          </w:p>
        </w:tc>
      </w:tr>
      <w:tr>
        <w:tc>
          <w:tcPr>
            <w:tcW w:type="dxa" w:w="2520"/>
            <w:vAlign w:val="top"/>
          </w:tcPr>
          <w:p>
            <w:r>
              <w:rPr>
                <w:sz w:val="15"/>
              </w:rPr>
              <w:t>Worker data-entry time</w:t>
            </w:r>
          </w:p>
        </w:tc>
        <w:tc>
          <w:tcPr>
            <w:tcW w:type="dxa" w:w="2520"/>
            <w:vAlign w:val="top"/>
          </w:tcPr>
          <w:p>
            <w:r>
              <w:rPr>
                <w:sz w:val="15"/>
              </w:rPr>
              <w:t>Minutes per case/workflow</w:t>
            </w:r>
          </w:p>
        </w:tc>
        <w:tc>
          <w:tcPr>
            <w:tcW w:type="dxa" w:w="2520"/>
            <w:vAlign w:val="top"/>
          </w:tcPr>
          <w:p>
            <w:r>
              <w:rPr>
                <w:sz w:val="15"/>
              </w:rPr>
              <w:t>Adoption/burden</w:t>
            </w:r>
          </w:p>
        </w:tc>
        <w:tc>
          <w:tcPr>
            <w:tcW w:type="dxa" w:w="2520"/>
            <w:vAlign w:val="top"/>
          </w:tcPr>
          <w:p>
            <w:r>
              <w:rPr>
                <w:sz w:val="15"/>
              </w:rPr>
              <w:t>Time-motion study</w:t>
            </w:r>
          </w:p>
        </w:tc>
      </w:tr>
      <w:tr>
        <w:tc>
          <w:tcPr>
            <w:tcW w:type="dxa" w:w="2520"/>
            <w:vAlign w:val="top"/>
          </w:tcPr>
          <w:p>
            <w:r>
              <w:rPr>
                <w:sz w:val="15"/>
              </w:rPr>
              <w:t>Offline sync success</w:t>
            </w:r>
          </w:p>
        </w:tc>
        <w:tc>
          <w:tcPr>
            <w:tcW w:type="dxa" w:w="2520"/>
            <w:vAlign w:val="top"/>
          </w:tcPr>
          <w:p>
            <w:r>
              <w:rPr>
                <w:sz w:val="15"/>
              </w:rPr>
              <w:t>Events eventually acknowledged / events created offline</w:t>
            </w:r>
          </w:p>
        </w:tc>
        <w:tc>
          <w:tcPr>
            <w:tcW w:type="dxa" w:w="2520"/>
            <w:vAlign w:val="top"/>
          </w:tcPr>
          <w:p>
            <w:r>
              <w:rPr>
                <w:sz w:val="15"/>
              </w:rPr>
              <w:t>Reliability</w:t>
            </w:r>
          </w:p>
        </w:tc>
        <w:tc>
          <w:tcPr>
            <w:tcW w:type="dxa" w:w="2520"/>
            <w:vAlign w:val="top"/>
          </w:tcPr>
          <w:p>
            <w:r>
              <w:rPr>
                <w:sz w:val="15"/>
              </w:rPr>
              <w:t>Near-100% technical objective</w:t>
            </w:r>
          </w:p>
        </w:tc>
      </w:tr>
      <w:tr>
        <w:tc>
          <w:tcPr>
            <w:tcW w:type="dxa" w:w="2520"/>
            <w:vAlign w:val="top"/>
          </w:tcPr>
          <w:p>
            <w:r>
              <w:rPr>
                <w:sz w:val="15"/>
              </w:rPr>
              <w:t>Data-quality error rate</w:t>
            </w:r>
          </w:p>
        </w:tc>
        <w:tc>
          <w:tcPr>
            <w:tcW w:type="dxa" w:w="2520"/>
            <w:vAlign w:val="top"/>
          </w:tcPr>
          <w:p>
            <w:r>
              <w:rPr>
                <w:sz w:val="15"/>
              </w:rPr>
              <w:t>Duplicate/invalid/mismatched records per 1,000 events</w:t>
            </w:r>
          </w:p>
        </w:tc>
        <w:tc>
          <w:tcPr>
            <w:tcW w:type="dxa" w:w="2520"/>
            <w:vAlign w:val="top"/>
          </w:tcPr>
          <w:p>
            <w:r>
              <w:rPr>
                <w:sz w:val="15"/>
              </w:rPr>
              <w:t>Safety</w:t>
            </w:r>
          </w:p>
        </w:tc>
        <w:tc>
          <w:tcPr>
            <w:tcW w:type="dxa" w:w="2520"/>
            <w:vAlign w:val="top"/>
          </w:tcPr>
          <w:p>
            <w:r>
              <w:rPr>
                <w:sz w:val="15"/>
              </w:rPr>
              <w:t>Set hard threshold before scale</w:t>
            </w:r>
          </w:p>
        </w:tc>
      </w:tr>
      <w:tr>
        <w:tc>
          <w:tcPr>
            <w:tcW w:type="dxa" w:w="2520"/>
            <w:vAlign w:val="top"/>
          </w:tcPr>
          <w:p>
            <w:r>
              <w:rPr>
                <w:sz w:val="15"/>
              </w:rPr>
              <w:t>AI safety metrics</w:t>
            </w:r>
          </w:p>
        </w:tc>
        <w:tc>
          <w:tcPr>
            <w:tcW w:type="dxa" w:w="2520"/>
            <w:vAlign w:val="top"/>
          </w:tcPr>
          <w:p>
            <w:r>
              <w:rPr>
                <w:sz w:val="15"/>
              </w:rPr>
              <w:t>False-negative red flags, override rate, subgroup performance</w:t>
            </w:r>
          </w:p>
        </w:tc>
        <w:tc>
          <w:tcPr>
            <w:tcW w:type="dxa" w:w="2520"/>
            <w:vAlign w:val="top"/>
          </w:tcPr>
          <w:p>
            <w:r>
              <w:rPr>
                <w:sz w:val="15"/>
              </w:rPr>
              <w:t>Clinical safety</w:t>
            </w:r>
          </w:p>
        </w:tc>
        <w:tc>
          <w:tcPr>
            <w:tcW w:type="dxa" w:w="2520"/>
            <w:vAlign w:val="top"/>
          </w:tcPr>
          <w:p>
            <w:r>
              <w:rPr>
                <w:sz w:val="15"/>
              </w:rPr>
              <w:t>No deployment without validation</w:t>
            </w:r>
          </w:p>
        </w:tc>
      </w:tr>
    </w:tbl>
    <w:p/>
    <w:p>
      <w:pPr>
        <w:pStyle w:val="Heading1"/>
      </w:pPr>
      <w:r>
        <w:t>13. Final feasibility decision</w:t>
      </w:r>
    </w:p>
    <w:p>
      <w:r>
        <w:t>Recommendation: PROCEED WITH A CONTROLLED PILOT, NOT A STATEWIDE DEPLOYMENT. The architecture is feasible if the product remains an orchestration layer, uses approved identity/interoperability mechanisms, obtains state/system authorization, and places clinical and security governance ahead of AI expansion.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sz w:val="16"/>
              </w:rPr>
              <w:t>Decision area</w:t>
            </w:r>
          </w:p>
        </w:tc>
        <w:tc>
          <w:tcPr>
            <w:tcW w:type="dxa" w:w="5040"/>
            <w:shd w:fill="EDEDED"/>
            <w:vAlign w:val="center"/>
          </w:tcPr>
          <w:p>
            <w:r>
              <w:rPr>
                <w:b/>
                <w:sz w:val="16"/>
              </w:rPr>
              <w:t>Recommendation</w:t>
            </w:r>
          </w:p>
        </w:tc>
      </w:tr>
      <w:tr>
        <w:tc>
          <w:tcPr>
            <w:tcW w:type="dxa" w:w="5040"/>
            <w:vAlign w:val="top"/>
          </w:tcPr>
          <w:p>
            <w:r>
              <w:rPr>
                <w:sz w:val="15"/>
              </w:rPr>
              <w:t>Product boundary</w:t>
            </w:r>
          </w:p>
        </w:tc>
        <w:tc>
          <w:tcPr>
            <w:tcW w:type="dxa" w:w="5040"/>
            <w:vAlign w:val="top"/>
          </w:tcPr>
          <w:p>
            <w:r>
              <w:rPr>
                <w:sz w:val="15"/>
              </w:rPr>
              <w:t>Care orchestration; not EHR replacement</w:t>
            </w:r>
          </w:p>
        </w:tc>
      </w:tr>
      <w:tr>
        <w:tc>
          <w:tcPr>
            <w:tcW w:type="dxa" w:w="5040"/>
            <w:vAlign w:val="top"/>
          </w:tcPr>
          <w:p>
            <w:r>
              <w:rPr>
                <w:sz w:val="15"/>
              </w:rPr>
              <w:t>Identity</w:t>
            </w:r>
          </w:p>
        </w:tc>
        <w:tc>
          <w:tcPr>
            <w:tcW w:type="dxa" w:w="5040"/>
            <w:vAlign w:val="top"/>
          </w:tcPr>
          <w:p>
            <w:r>
              <w:rPr>
                <w:sz w:val="15"/>
              </w:rPr>
              <w:t>Use ABHA/approved identifiers; no new national ID</w:t>
            </w:r>
          </w:p>
        </w:tc>
      </w:tr>
      <w:tr>
        <w:tc>
          <w:tcPr>
            <w:tcW w:type="dxa" w:w="5040"/>
            <w:vAlign w:val="top"/>
          </w:tcPr>
          <w:p>
            <w:r>
              <w:rPr>
                <w:sz w:val="15"/>
              </w:rPr>
              <w:t>Clinical records</w:t>
            </w:r>
          </w:p>
        </w:tc>
        <w:tc>
          <w:tcPr>
            <w:tcW w:type="dxa" w:w="5040"/>
            <w:vAlign w:val="top"/>
          </w:tcPr>
          <w:p>
            <w:r>
              <w:rPr>
                <w:sz w:val="15"/>
              </w:rPr>
              <w:t>Keep source systems authoritative; use consented exchange/references</w:t>
            </w:r>
          </w:p>
        </w:tc>
      </w:tr>
      <w:tr>
        <w:tc>
          <w:tcPr>
            <w:tcW w:type="dxa" w:w="5040"/>
            <w:vAlign w:val="top"/>
          </w:tcPr>
          <w:p>
            <w:r>
              <w:rPr>
                <w:sz w:val="15"/>
              </w:rPr>
              <w:t>Interoperability</w:t>
            </w:r>
          </w:p>
        </w:tc>
        <w:tc>
          <w:tcPr>
            <w:tcW w:type="dxa" w:w="5040"/>
            <w:vAlign w:val="top"/>
          </w:tcPr>
          <w:p>
            <w:r>
              <w:rPr>
                <w:sz w:val="15"/>
              </w:rPr>
              <w:t>ABDM + approved FHIR profiles; UHI where applicable; state adapters</w:t>
            </w:r>
          </w:p>
        </w:tc>
      </w:tr>
      <w:tr>
        <w:tc>
          <w:tcPr>
            <w:tcW w:type="dxa" w:w="5040"/>
            <w:vAlign w:val="top"/>
          </w:tcPr>
          <w:p>
            <w:r>
              <w:rPr>
                <w:sz w:val="15"/>
              </w:rPr>
              <w:t>AI</w:t>
            </w:r>
          </w:p>
        </w:tc>
        <w:tc>
          <w:tcPr>
            <w:tcW w:type="dxa" w:w="5040"/>
            <w:vAlign w:val="top"/>
          </w:tcPr>
          <w:p>
            <w:r>
              <w:rPr>
                <w:sz w:val="15"/>
              </w:rPr>
              <w:t>Rules + clinician oversight first; predictive analytics later</w:t>
            </w:r>
          </w:p>
        </w:tc>
      </w:tr>
      <w:tr>
        <w:tc>
          <w:tcPr>
            <w:tcW w:type="dxa" w:w="5040"/>
            <w:vAlign w:val="top"/>
          </w:tcPr>
          <w:p>
            <w:r>
              <w:rPr>
                <w:sz w:val="15"/>
              </w:rPr>
              <w:t>Deployment</w:t>
            </w:r>
          </w:p>
        </w:tc>
        <w:tc>
          <w:tcPr>
            <w:tcW w:type="dxa" w:w="5040"/>
            <w:vAlign w:val="top"/>
          </w:tcPr>
          <w:p>
            <w:r>
              <w:rPr>
                <w:sz w:val="15"/>
              </w:rPr>
              <w:t>Tamil Nadu pilot first; Maharashtra as second-state stress test</w:t>
            </w:r>
          </w:p>
        </w:tc>
      </w:tr>
      <w:tr>
        <w:tc>
          <w:tcPr>
            <w:tcW w:type="dxa" w:w="5040"/>
            <w:vAlign w:val="top"/>
          </w:tcPr>
          <w:p>
            <w:r>
              <w:rPr>
                <w:sz w:val="15"/>
              </w:rPr>
              <w:t>Connectivity</w:t>
            </w:r>
          </w:p>
        </w:tc>
        <w:tc>
          <w:tcPr>
            <w:tcW w:type="dxa" w:w="5040"/>
            <w:vAlign w:val="top"/>
          </w:tcPr>
          <w:p>
            <w:r>
              <w:rPr>
                <w:sz w:val="15"/>
              </w:rPr>
              <w:t>Offline-first from day one</w:t>
            </w:r>
          </w:p>
        </w:tc>
      </w:tr>
      <w:tr>
        <w:tc>
          <w:tcPr>
            <w:tcW w:type="dxa" w:w="5040"/>
            <w:vAlign w:val="top"/>
          </w:tcPr>
          <w:p>
            <w:r>
              <w:rPr>
                <w:sz w:val="15"/>
              </w:rPr>
              <w:t>Security</w:t>
            </w:r>
          </w:p>
        </w:tc>
        <w:tc>
          <w:tcPr>
            <w:tcW w:type="dxa" w:w="5040"/>
            <w:vAlign w:val="top"/>
          </w:tcPr>
          <w:p>
            <w:r>
              <w:rPr>
                <w:sz w:val="15"/>
              </w:rPr>
              <w:t>ABDM sandbox/certification + VAPT + IRP + auditability before production</w:t>
            </w:r>
          </w:p>
        </w:tc>
      </w:tr>
      <w:tr>
        <w:tc>
          <w:tcPr>
            <w:tcW w:type="dxa" w:w="5040"/>
            <w:vAlign w:val="top"/>
          </w:tcPr>
          <w:p>
            <w:r>
              <w:rPr>
                <w:sz w:val="15"/>
              </w:rPr>
              <w:t>Evaluation</w:t>
            </w:r>
          </w:p>
        </w:tc>
        <w:tc>
          <w:tcPr>
            <w:tcW w:type="dxa" w:w="5040"/>
            <w:vAlign w:val="top"/>
          </w:tcPr>
          <w:p>
            <w:r>
              <w:rPr>
                <w:sz w:val="15"/>
              </w:rPr>
              <w:t>Baseline + quasi-experimental/controlled pilot where feasible</w:t>
            </w:r>
          </w:p>
        </w:tc>
      </w:tr>
      <w:tr>
        <w:tc>
          <w:tcPr>
            <w:tcW w:type="dxa" w:w="5040"/>
            <w:vAlign w:val="top"/>
          </w:tcPr>
          <w:p>
            <w:r>
              <w:rPr>
                <w:sz w:val="15"/>
              </w:rPr>
              <w:t>Scale criterion</w:t>
            </w:r>
          </w:p>
        </w:tc>
        <w:tc>
          <w:tcPr>
            <w:tcW w:type="dxa" w:w="5040"/>
            <w:vAlign w:val="top"/>
          </w:tcPr>
          <w:p>
            <w:r>
              <w:rPr>
                <w:sz w:val="15"/>
              </w:rPr>
              <w:t>Scale only if patient outcomes improve without increasing frontline workload or safety incidents</w:t>
            </w:r>
          </w:p>
        </w:tc>
      </w:tr>
    </w:tbl>
    <w:p/>
    <w:p>
      <w:pPr>
        <w:pStyle w:val="Heading1"/>
      </w:pPr>
      <w:r>
        <w:t>14. Primary sources used</w:t>
      </w:r>
    </w:p>
    <w:p>
      <w:pPr>
        <w:pStyle w:val="ListBullet"/>
      </w:pPr>
      <w:r>
        <w:rPr>
          <w:b/>
        </w:rPr>
        <w:t xml:space="preserve">NHA / ABDM FAQ — sandbox, functional testing, security assessment, production onboarding, ecosystem architecture. </w:t>
      </w:r>
      <w:r>
        <w:t>https://abdm.gov.in/faqs</w:t>
      </w:r>
    </w:p>
    <w:p>
      <w:pPr>
        <w:pStyle w:val="ListBullet"/>
      </w:pPr>
      <w:r>
        <w:rPr>
          <w:b/>
        </w:rPr>
        <w:t xml:space="preserve">NHA — ABDM Partners / Certification — API integration, sandbox and security/VAPT requirements. </w:t>
      </w:r>
      <w:r>
        <w:t>https://abdm.gov.in/our-partners</w:t>
      </w:r>
    </w:p>
    <w:p>
      <w:pPr>
        <w:pStyle w:val="ListBullet"/>
      </w:pPr>
      <w:r>
        <w:rPr>
          <w:b/>
        </w:rPr>
        <w:t xml:space="preserve">NRCeS — FHIR Implementation Guide for ABDM v6.5.0 — FHIR R4 / 4.0.1, profiles and value sets. </w:t>
      </w:r>
      <w:r>
        <w:t>https://www.nrces.in/ndhm/fhir/r4/</w:t>
      </w:r>
    </w:p>
    <w:p>
      <w:pPr>
        <w:pStyle w:val="ListBullet"/>
      </w:pPr>
      <w:r>
        <w:rPr>
          <w:b/>
        </w:rPr>
        <w:t xml:space="preserve">NRCeS — FHIR downloads — package/profile material for implementation. </w:t>
      </w:r>
      <w:r>
        <w:t>https://www.nrces.in/ndhm/fhir/r4/downloads.html</w:t>
      </w:r>
    </w:p>
    <w:p>
      <w:pPr>
        <w:pStyle w:val="ListBullet"/>
      </w:pPr>
      <w:r>
        <w:rPr>
          <w:b/>
        </w:rPr>
        <w:t xml:space="preserve">NHA — ABDM privacy policy for ABHA app — minimization, consent, encryption, rights, audit trail. </w:t>
      </w:r>
      <w:r>
        <w:t>https://abdm.gov.in/abha-PRIVACY-POLICY-english</w:t>
      </w:r>
    </w:p>
    <w:p>
      <w:pPr>
        <w:pStyle w:val="ListBullet"/>
      </w:pPr>
      <w:r>
        <w:rPr>
          <w:b/>
        </w:rPr>
        <w:t xml:space="preserve">ABDM Health Data Management Policy — federated architecture and consent-based processing. </w:t>
      </w:r>
      <w:r>
        <w:t>https://abdm.gov.in/static/media/health_management_policy_bac9429a79.80f74bc3e039c00acd4f.pdf</w:t>
      </w:r>
    </w:p>
    <w:p>
      <w:pPr>
        <w:pStyle w:val="ListBullet"/>
      </w:pPr>
      <w:r>
        <w:rPr>
          <w:b/>
        </w:rPr>
        <w:t xml:space="preserve">MoHFW — Telemedicine Practice Guidelines, 25 March 2020. </w:t>
      </w:r>
      <w:r>
        <w:t>https://esanjeevani.mohfw.gov.in/assets/guidelines/Telemedicine_Practice_Guidelines.pdf</w:t>
      </w:r>
    </w:p>
    <w:p>
      <w:pPr>
        <w:pStyle w:val="ListBullet"/>
      </w:pPr>
      <w:r>
        <w:rPr>
          <w:b/>
        </w:rPr>
        <w:t xml:space="preserve">MeitY — DPDP Act commencement notification, 13 Nov 2025. </w:t>
      </w:r>
      <w:r>
        <w:t>https://www.meity.gov.in/static/uploads/2025/11/c56ceae6c383460ca69577428d36828b.pdf</w:t>
      </w:r>
    </w:p>
    <w:p>
      <w:pPr>
        <w:pStyle w:val="ListBullet"/>
      </w:pPr>
      <w:r>
        <w:rPr>
          <w:b/>
        </w:rPr>
        <w:t xml:space="preserve">MeitY — DPDP Rules 2025 Gazette, 13 Nov 2025. </w:t>
      </w:r>
      <w:r>
        <w:t>https://www.meity.gov.in/static/uploads/2025/11/53450e6e5dc0bfa85ebd78686cadad39.pdf</w:t>
      </w:r>
    </w:p>
    <w:p>
      <w:pPr>
        <w:pStyle w:val="ListBullet"/>
      </w:pPr>
      <w:r>
        <w:rPr>
          <w:b/>
        </w:rPr>
        <w:t xml:space="preserve">MeitY — Explanatory note to DPDP Rules 2025. </w:t>
      </w:r>
      <w:r>
        <w:t>https://www.meity.gov.in/writereaddata/files/Explanatory-Note-DPDP-Rules-2025.pdf</w:t>
      </w:r>
    </w:p>
    <w:p>
      <w:pPr>
        <w:pStyle w:val="ListBullet"/>
      </w:pPr>
      <w:r>
        <w:rPr>
          <w:b/>
        </w:rPr>
        <w:t xml:space="preserve">CERT-In — Directions under section 70B, including six-hour reporting. </w:t>
      </w:r>
      <w:r>
        <w:t>https://www.cert-in.org.in/PDF/CERT-In_Directions_70B_28.04.2022.pdf</w:t>
      </w:r>
    </w:p>
    <w:p>
      <w:pPr>
        <w:pStyle w:val="ListBullet"/>
      </w:pPr>
      <w:r>
        <w:rPr>
          <w:b/>
        </w:rPr>
        <w:t xml:space="preserve">CERT-In — 2026 incident reporting guidance. </w:t>
      </w:r>
      <w:r>
        <w:t>https://www.cert-in.org.in/Downloader?fileName=CIPS-2026-0019.pdf&amp;pageid=5&amp;type=2</w:t>
      </w:r>
    </w:p>
    <w:p>
      <w:pPr>
        <w:pStyle w:val="ListBullet"/>
      </w:pPr>
      <w:r>
        <w:rPr>
          <w:b/>
        </w:rPr>
        <w:t xml:space="preserve">CDSCO — Draft Guidance Document on Medical Device Software 2025. </w:t>
      </w:r>
      <w:r>
        <w:t>https://cdsco.gov.in/opencms/resources/UploadCDSCOWeb/2018/UploadPublic_NoticesFiles/Draft%20guidance%20document%20on%20Medical%20Device%20Software%2021%2010%202025.pdf</w:t>
      </w:r>
    </w:p>
    <w:p>
      <w:pPr>
        <w:pStyle w:val="ListBullet"/>
      </w:pPr>
      <w:r>
        <w:rPr>
          <w:b/>
        </w:rPr>
        <w:t xml:space="preserve">MoHFW — Electronic Health Record Standards for India 2016. </w:t>
      </w:r>
      <w:r>
        <w:t>https://www.mohfw.gov.in/sites/default/files/EMR-EHR_Standards_for_India_as_notified_by_MOHFW_2016.pdf</w:t>
      </w:r>
    </w:p>
    <w:p>
      <w:pPr>
        <w:pStyle w:val="ListBullet"/>
      </w:pPr>
      <w:r>
        <w:rPr>
          <w:b/>
        </w:rPr>
        <w:t xml:space="preserve">ICMR — Ethical guidelines for application of AI in biomedical research and healthcare. </w:t>
      </w:r>
      <w:r>
        <w:t>https://www.icmr.gov.in/ethical-guidelines-for-application-of-artificial-intelligence-in-biomedical-research-and-healthcare?q=ct</w:t>
      </w:r>
    </w:p>
    <w:p>
      <w:pPr>
        <w:pStyle w:val="ListBullet"/>
      </w:pPr>
      <w:r>
        <w:rPr>
          <w:b/>
        </w:rPr>
        <w:t xml:space="preserve">WHO — Ethics and governance of AI for health. </w:t>
      </w:r>
      <w:r>
        <w:t>https://www.who.int/publications/i/item/9789240029200</w:t>
      </w:r>
    </w:p>
    <w:p>
      <w:pPr>
        <w:pStyle w:val="ListBullet"/>
      </w:pPr>
      <w:r>
        <w:rPr>
          <w:b/>
        </w:rPr>
        <w:t xml:space="preserve">Maharashtra DMER — Digital Medical Education and Tertiary Healthcare Policy 2023. </w:t>
      </w:r>
      <w:r>
        <w:t>https://dmer.maharashtra.gov.in/english/wp-content/uploads/2025/09/Digital_Medical_Education_and_Tertiary_Healthcare_Policy_2023__10.10.20231.pdf</w:t>
      </w:r>
    </w:p>
    <w:p>
      <w:pPr>
        <w:pStyle w:val="ListBullet"/>
      </w:pPr>
      <w:r>
        <w:rPr>
          <w:b/>
        </w:rPr>
        <w:t xml:space="preserve">Clinical Establishments Division, MoHFW — state adoption list and operational material. </w:t>
      </w:r>
      <w:r>
        <w:t>https://clinicalestablishments.mohfw.gov.in/</w:t>
      </w:r>
    </w:p>
    <w:p>
      <w:pPr>
        <w:pStyle w:val="ListBullet"/>
      </w:pPr>
      <w:r>
        <w:rPr>
          <w:b/>
        </w:rPr>
        <w:t xml:space="preserve">Tamil Nadu — state health/HMIS and programme sources used in Phase 3/5 state analysis. </w:t>
      </w:r>
      <w:r>
        <w:t>https://tnhmis.tn.gov.in/ ; https://tn.gov.in/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5 — Implementation Feasibility, Risk &amp; Governance | Production-oriented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 Implementation Feasibility, Risk &amp; Governance</dc:title>
  <dc:subject>Rural healthcare access and continuity orchestration platform</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