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Phase 8 — Prototype &amp; Implementation Engineering Blueprint</w:t>
      </w:r>
    </w:p>
    <w:p>
      <w:pPr>
        <w:jc w:val="center"/>
      </w:pPr>
      <w:r>
        <w:rPr>
          <w:i/>
          <w:sz w:val="24"/>
        </w:rPr>
        <w:t>Rural Care Access &amp; Continuity Orchestration Platform</w:t>
      </w:r>
    </w:p>
    <w:p>
      <w:r>
        <w:t>Phase 8 converts the research and Phase 7 data contracts into an implementation blueprint. It defines the recommended software architecture, service boundaries, storage, API gateway, FHIR adapter, state adapters, event architecture, offline synchronization, role-based applications, AI services, observability, CI/CD, security controls, environments and an implementation roadmap for a Tamil Nadu pilot with Maharashtra portability.</w:t>
      </w:r>
    </w:p>
    <w:p>
      <w:pPr>
        <w:pStyle w:val="Heading1"/>
      </w:pPr>
      <w:r>
        <w:t>1. Engineering objective</w:t>
      </w:r>
    </w:p>
    <w:p>
      <w:r>
        <w:t>Build one care-orchestration core that is independent of any single state or programme system. The platform owns operational journey state and workflow tasks; external systems remain authoritative for their own data domains. The first deployable slice should be an NCD referral journey and should prove the reusable engine rather than implementing every disease programme.</w:t>
      </w:r>
    </w:p>
    <w:p>
      <w:pPr>
        <w:pStyle w:val="Heading1"/>
      </w:pPr>
      <w:r>
        <w:t>2. Recommended architecture: modular core + event-driven integrations</w:t>
      </w:r>
    </w:p>
    <w:p>
      <w:r>
        <w:t>For the first production pilot, use a modular monolith for the core business domain with a separate integration/adapter tier and an event bus. This is preferable to starting with many microservices: the business domain is still being validated, while external integrations can fail independently. Modules can later be extracted into services where scale, ownership or isolation justifies it.</w:t>
      </w:r>
    </w:p>
    <w:p>
      <w:r>
        <w:t>Logical architecture:</w:t>
      </w:r>
    </w:p>
    <w:p>
      <w:r>
        <w:t>Users → Role-based web/mobile clients → API Gateway/BFF → Care Orchestration Core → Integration Hub → ABDM/UHI/State/Facility adapters → external systems</w:t>
        <w:br/>
        <w:t xml:space="preserve">                                                   ↕</w:t>
        <w:br/>
        <w:t xml:space="preserve">                                             Event Bus / Queue</w:t>
        <w:br/>
        <w:t xml:space="preserve">                                                   ↕</w:t>
        <w:br/>
        <w:t xml:space="preserve">                                       Analytics / Notifications / AI</w:t>
      </w:r>
    </w:p>
    <w:p>
      <w:pPr>
        <w:pStyle w:val="Heading1"/>
      </w:pPr>
      <w:r>
        <w:t>3. Technology stack recommendation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EDEDED"/>
            <w:vAlign w:val="center"/>
          </w:tcPr>
          <w:p>
            <w:r>
              <w:rPr>
                <w:sz w:val="15"/>
              </w:rPr>
              <w:t>Layer</w:t>
            </w:r>
          </w:p>
        </w:tc>
        <w:tc>
          <w:tcPr>
            <w:tcW w:type="dxa" w:w="2592"/>
            <w:shd w:fill="EDEDED"/>
            <w:vAlign w:val="center"/>
          </w:tcPr>
          <w:p>
            <w:r>
              <w:rPr>
                <w:sz w:val="15"/>
              </w:rPr>
              <w:t>Recommended choice</w:t>
            </w:r>
          </w:p>
        </w:tc>
        <w:tc>
          <w:tcPr>
            <w:tcW w:type="dxa" w:w="2592"/>
            <w:shd w:fill="EDEDED"/>
            <w:vAlign w:val="center"/>
          </w:tcPr>
          <w:p>
            <w:r>
              <w:rPr>
                <w:sz w:val="15"/>
              </w:rPr>
              <w:t>Reason</w:t>
            </w:r>
          </w:p>
        </w:tc>
        <w:tc>
          <w:tcPr>
            <w:tcW w:type="dxa" w:w="2592"/>
            <w:shd w:fill="EDEDED"/>
            <w:vAlign w:val="center"/>
          </w:tcPr>
          <w:p>
            <w:r>
              <w:rPr>
                <w:sz w:val="15"/>
              </w:rPr>
              <w:t>Alternative</w:t>
            </w:r>
          </w:p>
        </w:tc>
      </w:tr>
      <w:tr>
        <w:tc>
          <w:tcPr>
            <w:tcW w:type="dxa" w:w="2592"/>
            <w:vAlign w:val="top"/>
          </w:tcPr>
          <w:p>
            <w:r>
              <w:rPr>
                <w:sz w:val="15"/>
              </w:rPr>
              <w:t>Web frontend</w:t>
            </w:r>
          </w:p>
        </w:tc>
        <w:tc>
          <w:tcPr>
            <w:tcW w:type="dxa" w:w="2592"/>
            <w:vAlign w:val="top"/>
          </w:tcPr>
          <w:p>
            <w:r>
              <w:rPr>
                <w:sz w:val="15"/>
              </w:rPr>
              <w:t>React + TypeScript</w:t>
            </w:r>
          </w:p>
        </w:tc>
        <w:tc>
          <w:tcPr>
            <w:tcW w:type="dxa" w:w="2592"/>
            <w:vAlign w:val="top"/>
          </w:tcPr>
          <w:p>
            <w:r>
              <w:rPr>
                <w:sz w:val="15"/>
              </w:rPr>
              <w:t>Strong ecosystem, role-based dashboards, typed API clients</w:t>
            </w:r>
          </w:p>
        </w:tc>
        <w:tc>
          <w:tcPr>
            <w:tcW w:type="dxa" w:w="2592"/>
            <w:vAlign w:val="top"/>
          </w:tcPr>
          <w:p>
            <w:r>
              <w:rPr>
                <w:sz w:val="15"/>
              </w:rPr>
              <w:t>Angular</w:t>
            </w:r>
          </w:p>
        </w:tc>
      </w:tr>
      <w:tr>
        <w:tc>
          <w:tcPr>
            <w:tcW w:type="dxa" w:w="2592"/>
            <w:vAlign w:val="top"/>
          </w:tcPr>
          <w:p>
            <w:r>
              <w:rPr>
                <w:sz w:val="15"/>
              </w:rPr>
              <w:t>Mobile/offline</w:t>
            </w:r>
          </w:p>
        </w:tc>
        <w:tc>
          <w:tcPr>
            <w:tcW w:type="dxa" w:w="2592"/>
            <w:vAlign w:val="top"/>
          </w:tcPr>
          <w:p>
            <w:r>
              <w:rPr>
                <w:sz w:val="15"/>
              </w:rPr>
              <w:t>Flutter + Dart</w:t>
            </w:r>
          </w:p>
        </w:tc>
        <w:tc>
          <w:tcPr>
            <w:tcW w:type="dxa" w:w="2592"/>
            <w:vAlign w:val="top"/>
          </w:tcPr>
          <w:p>
            <w:r>
              <w:rPr>
                <w:sz w:val="15"/>
              </w:rPr>
              <w:t>Single Android/iOS codebase, strong local storage/offline UX</w:t>
            </w:r>
          </w:p>
        </w:tc>
        <w:tc>
          <w:tcPr>
            <w:tcW w:type="dxa" w:w="2592"/>
            <w:vAlign w:val="top"/>
          </w:tcPr>
          <w:p>
            <w:r>
              <w:rPr>
                <w:sz w:val="15"/>
              </w:rPr>
              <w:t>Kotlin Android-first</w:t>
            </w:r>
          </w:p>
        </w:tc>
      </w:tr>
      <w:tr>
        <w:tc>
          <w:tcPr>
            <w:tcW w:type="dxa" w:w="2592"/>
            <w:vAlign w:val="top"/>
          </w:tcPr>
          <w:p>
            <w:r>
              <w:rPr>
                <w:sz w:val="15"/>
              </w:rPr>
              <w:t>Backend core</w:t>
            </w:r>
          </w:p>
        </w:tc>
        <w:tc>
          <w:tcPr>
            <w:tcW w:type="dxa" w:w="2592"/>
            <w:vAlign w:val="top"/>
          </w:tcPr>
          <w:p>
            <w:r>
              <w:rPr>
                <w:sz w:val="15"/>
              </w:rPr>
              <w:t>Java 21 + Spring Boot</w:t>
            </w:r>
          </w:p>
        </w:tc>
        <w:tc>
          <w:tcPr>
            <w:tcW w:type="dxa" w:w="2592"/>
            <w:vAlign w:val="top"/>
          </w:tcPr>
          <w:p>
            <w:r>
              <w:rPr>
                <w:sz w:val="15"/>
              </w:rPr>
              <w:t>Enterprise maturity, security, FHIR ecosystem compatibility, team scalability</w:t>
            </w:r>
          </w:p>
        </w:tc>
        <w:tc>
          <w:tcPr>
            <w:tcW w:type="dxa" w:w="2592"/>
            <w:vAlign w:val="top"/>
          </w:tcPr>
          <w:p>
            <w:r>
              <w:rPr>
                <w:sz w:val="15"/>
              </w:rPr>
              <w:t>Kotlin/Spring</w:t>
            </w:r>
          </w:p>
        </w:tc>
      </w:tr>
      <w:tr>
        <w:tc>
          <w:tcPr>
            <w:tcW w:type="dxa" w:w="2592"/>
            <w:vAlign w:val="top"/>
          </w:tcPr>
          <w:p>
            <w:r>
              <w:rPr>
                <w:sz w:val="15"/>
              </w:rPr>
              <w:t>FHIR/integration</w:t>
            </w:r>
          </w:p>
        </w:tc>
        <w:tc>
          <w:tcPr>
            <w:tcW w:type="dxa" w:w="2592"/>
            <w:vAlign w:val="top"/>
          </w:tcPr>
          <w:p>
            <w:r>
              <w:rPr>
                <w:sz w:val="15"/>
              </w:rPr>
              <w:t>HAPI FHIR + custom ABDM/UHI adapters</w:t>
            </w:r>
          </w:p>
        </w:tc>
        <w:tc>
          <w:tcPr>
            <w:tcW w:type="dxa" w:w="2592"/>
            <w:vAlign w:val="top"/>
          </w:tcPr>
          <w:p>
            <w:r>
              <w:rPr>
                <w:sz w:val="15"/>
              </w:rPr>
              <w:t>FHIR tooling plus explicit external adapter boundary</w:t>
            </w:r>
          </w:p>
        </w:tc>
        <w:tc>
          <w:tcPr>
            <w:tcW w:type="dxa" w:w="2592"/>
            <w:vAlign w:val="top"/>
          </w:tcPr>
          <w:p>
            <w:r>
              <w:rPr>
                <w:sz w:val="15"/>
              </w:rPr>
              <w:t>.NET + Firely</w:t>
            </w:r>
          </w:p>
        </w:tc>
      </w:tr>
      <w:tr>
        <w:tc>
          <w:tcPr>
            <w:tcW w:type="dxa" w:w="2592"/>
            <w:vAlign w:val="top"/>
          </w:tcPr>
          <w:p>
            <w:r>
              <w:rPr>
                <w:sz w:val="15"/>
              </w:rPr>
              <w:t>Operational DB</w:t>
            </w:r>
          </w:p>
        </w:tc>
        <w:tc>
          <w:tcPr>
            <w:tcW w:type="dxa" w:w="2592"/>
            <w:vAlign w:val="top"/>
          </w:tcPr>
          <w:p>
            <w:r>
              <w:rPr>
                <w:sz w:val="15"/>
              </w:rPr>
              <w:t>PostgreSQL 16+</w:t>
            </w:r>
          </w:p>
        </w:tc>
        <w:tc>
          <w:tcPr>
            <w:tcW w:type="dxa" w:w="2592"/>
            <w:vAlign w:val="top"/>
          </w:tcPr>
          <w:p>
            <w:r>
              <w:rPr>
                <w:sz w:val="15"/>
              </w:rPr>
              <w:t>Relational integrity, transactions, JSONB, strong indexing</w:t>
            </w:r>
          </w:p>
        </w:tc>
        <w:tc>
          <w:tcPr>
            <w:tcW w:type="dxa" w:w="2592"/>
            <w:vAlign w:val="top"/>
          </w:tcPr>
          <w:p>
            <w:r>
              <w:rPr>
                <w:sz w:val="15"/>
              </w:rPr>
              <w:t>MySQL</w:t>
            </w:r>
          </w:p>
        </w:tc>
      </w:tr>
      <w:tr>
        <w:tc>
          <w:tcPr>
            <w:tcW w:type="dxa" w:w="2592"/>
            <w:vAlign w:val="top"/>
          </w:tcPr>
          <w:p>
            <w:r>
              <w:rPr>
                <w:sz w:val="15"/>
              </w:rPr>
              <w:t>Event bus</w:t>
            </w:r>
          </w:p>
        </w:tc>
        <w:tc>
          <w:tcPr>
            <w:tcW w:type="dxa" w:w="2592"/>
            <w:vAlign w:val="top"/>
          </w:tcPr>
          <w:p>
            <w:r>
              <w:rPr>
                <w:sz w:val="15"/>
              </w:rPr>
              <w:t>Kafka for scaled production; RabbitMQ for simpler pilots</w:t>
            </w:r>
          </w:p>
        </w:tc>
        <w:tc>
          <w:tcPr>
            <w:tcW w:type="dxa" w:w="2592"/>
            <w:vAlign w:val="top"/>
          </w:tcPr>
          <w:p>
            <w:r>
              <w:rPr>
                <w:sz w:val="15"/>
              </w:rPr>
              <w:t>Durable event streams / decoupled integrations</w:t>
            </w:r>
          </w:p>
        </w:tc>
        <w:tc>
          <w:tcPr>
            <w:tcW w:type="dxa" w:w="2592"/>
            <w:vAlign w:val="top"/>
          </w:tcPr>
          <w:p>
            <w:r>
              <w:rPr>
                <w:sz w:val="15"/>
              </w:rPr>
              <w:t>NATS</w:t>
            </w:r>
          </w:p>
        </w:tc>
      </w:tr>
      <w:tr>
        <w:tc>
          <w:tcPr>
            <w:tcW w:type="dxa" w:w="2592"/>
            <w:vAlign w:val="top"/>
          </w:tcPr>
          <w:p>
            <w:r>
              <w:rPr>
                <w:sz w:val="15"/>
              </w:rPr>
              <w:t>Cache</w:t>
            </w:r>
          </w:p>
        </w:tc>
        <w:tc>
          <w:tcPr>
            <w:tcW w:type="dxa" w:w="2592"/>
            <w:vAlign w:val="top"/>
          </w:tcPr>
          <w:p>
            <w:r>
              <w:rPr>
                <w:sz w:val="15"/>
              </w:rPr>
              <w:t>Redis</w:t>
            </w:r>
          </w:p>
        </w:tc>
        <w:tc>
          <w:tcPr>
            <w:tcW w:type="dxa" w:w="2592"/>
            <w:vAlign w:val="top"/>
          </w:tcPr>
          <w:p>
            <w:r>
              <w:rPr>
                <w:sz w:val="15"/>
              </w:rPr>
              <w:t>Short-lived cache, rate limiting, distributed locks where justified</w:t>
            </w:r>
          </w:p>
        </w:tc>
        <w:tc>
          <w:tcPr>
            <w:tcW w:type="dxa" w:w="2592"/>
            <w:vAlign w:val="top"/>
          </w:tcPr>
          <w:p>
            <w:r>
              <w:rPr>
                <w:sz w:val="15"/>
              </w:rPr>
              <w:t>Valkey</w:t>
            </w:r>
          </w:p>
        </w:tc>
      </w:tr>
      <w:tr>
        <w:tc>
          <w:tcPr>
            <w:tcW w:type="dxa" w:w="2592"/>
            <w:vAlign w:val="top"/>
          </w:tcPr>
          <w:p>
            <w:r>
              <w:rPr>
                <w:sz w:val="15"/>
              </w:rPr>
              <w:t>Search</w:t>
            </w:r>
          </w:p>
        </w:tc>
        <w:tc>
          <w:tcPr>
            <w:tcW w:type="dxa" w:w="2592"/>
            <w:vAlign w:val="top"/>
          </w:tcPr>
          <w:p>
            <w:r>
              <w:rPr>
                <w:sz w:val="15"/>
              </w:rPr>
              <w:t>OpenSearch/Elasticsearch only if needed</w:t>
            </w:r>
          </w:p>
        </w:tc>
        <w:tc>
          <w:tcPr>
            <w:tcW w:type="dxa" w:w="2592"/>
            <w:vAlign w:val="top"/>
          </w:tcPr>
          <w:p>
            <w:r>
              <w:rPr>
                <w:sz w:val="15"/>
              </w:rPr>
              <w:t>Operational search across journey/task fields</w:t>
            </w:r>
          </w:p>
        </w:tc>
        <w:tc>
          <w:tcPr>
            <w:tcW w:type="dxa" w:w="2592"/>
            <w:vAlign w:val="top"/>
          </w:tcPr>
          <w:p>
            <w:r>
              <w:rPr>
                <w:sz w:val="15"/>
              </w:rPr>
              <w:t>Postgres search</w:t>
            </w:r>
          </w:p>
        </w:tc>
      </w:tr>
      <w:tr>
        <w:tc>
          <w:tcPr>
            <w:tcW w:type="dxa" w:w="2592"/>
            <w:vAlign w:val="top"/>
          </w:tcPr>
          <w:p>
            <w:r>
              <w:rPr>
                <w:sz w:val="15"/>
              </w:rPr>
              <w:t>Object storage</w:t>
            </w:r>
          </w:p>
        </w:tc>
        <w:tc>
          <w:tcPr>
            <w:tcW w:type="dxa" w:w="2592"/>
            <w:vAlign w:val="top"/>
          </w:tcPr>
          <w:p>
            <w:r>
              <w:rPr>
                <w:sz w:val="15"/>
              </w:rPr>
              <w:t>S3-compatible encrypted storage</w:t>
            </w:r>
          </w:p>
        </w:tc>
        <w:tc>
          <w:tcPr>
            <w:tcW w:type="dxa" w:w="2592"/>
            <w:vAlign w:val="top"/>
          </w:tcPr>
          <w:p>
            <w:r>
              <w:rPr>
                <w:sz w:val="15"/>
              </w:rPr>
              <w:t>FHIR bundles, documents, reports</w:t>
            </w:r>
          </w:p>
        </w:tc>
        <w:tc>
          <w:tcPr>
            <w:tcW w:type="dxa" w:w="2592"/>
            <w:vAlign w:val="top"/>
          </w:tcPr>
          <w:p>
            <w:r>
              <w:rPr>
                <w:sz w:val="15"/>
              </w:rPr>
              <w:t>Cloud provider object storage</w:t>
            </w:r>
          </w:p>
        </w:tc>
      </w:tr>
      <w:tr>
        <w:tc>
          <w:tcPr>
            <w:tcW w:type="dxa" w:w="2592"/>
            <w:vAlign w:val="top"/>
          </w:tcPr>
          <w:p>
            <w:r>
              <w:rPr>
                <w:sz w:val="15"/>
              </w:rPr>
              <w:t>Containerization</w:t>
            </w:r>
          </w:p>
        </w:tc>
        <w:tc>
          <w:tcPr>
            <w:tcW w:type="dxa" w:w="2592"/>
            <w:vAlign w:val="top"/>
          </w:tcPr>
          <w:p>
            <w:r>
              <w:rPr>
                <w:sz w:val="15"/>
              </w:rPr>
              <w:t>Docker</w:t>
            </w:r>
          </w:p>
        </w:tc>
        <w:tc>
          <w:tcPr>
            <w:tcW w:type="dxa" w:w="2592"/>
            <w:vAlign w:val="top"/>
          </w:tcPr>
          <w:p>
            <w:r>
              <w:rPr>
                <w:sz w:val="15"/>
              </w:rPr>
              <w:t>Repeatable builds</w:t>
            </w:r>
          </w:p>
        </w:tc>
        <w:tc>
          <w:tcPr>
            <w:tcW w:type="dxa" w:w="2592"/>
            <w:vAlign w:val="top"/>
          </w:tcPr>
          <w:p>
            <w:r>
              <w:rPr>
                <w:sz w:val="15"/>
              </w:rPr>
              <w:t>Podman</w:t>
            </w:r>
          </w:p>
        </w:tc>
      </w:tr>
      <w:tr>
        <w:tc>
          <w:tcPr>
            <w:tcW w:type="dxa" w:w="2592"/>
            <w:vAlign w:val="top"/>
          </w:tcPr>
          <w:p>
            <w:r>
              <w:rPr>
                <w:sz w:val="15"/>
              </w:rPr>
              <w:t>Orchestration</w:t>
            </w:r>
          </w:p>
        </w:tc>
        <w:tc>
          <w:tcPr>
            <w:tcW w:type="dxa" w:w="2592"/>
            <w:vAlign w:val="top"/>
          </w:tcPr>
          <w:p>
            <w:r>
              <w:rPr>
                <w:sz w:val="15"/>
              </w:rPr>
              <w:t>Kubernetes after pilot; managed K8s preferred at scale</w:t>
            </w:r>
          </w:p>
        </w:tc>
        <w:tc>
          <w:tcPr>
            <w:tcW w:type="dxa" w:w="2592"/>
            <w:vAlign w:val="top"/>
          </w:tcPr>
          <w:p>
            <w:r>
              <w:rPr>
                <w:sz w:val="15"/>
              </w:rPr>
              <w:t>State portability and controlled deployment</w:t>
            </w:r>
          </w:p>
        </w:tc>
        <w:tc>
          <w:tcPr>
            <w:tcW w:type="dxa" w:w="2592"/>
            <w:vAlign w:val="top"/>
          </w:tcPr>
          <w:p>
            <w:r>
              <w:rPr>
                <w:sz w:val="15"/>
              </w:rPr>
              <w:t>ECS/App Service for small pilot</w:t>
            </w:r>
          </w:p>
        </w:tc>
      </w:tr>
      <w:tr>
        <w:tc>
          <w:tcPr>
            <w:tcW w:type="dxa" w:w="2592"/>
            <w:vAlign w:val="top"/>
          </w:tcPr>
          <w:p>
            <w:r>
              <w:rPr>
                <w:sz w:val="15"/>
              </w:rPr>
              <w:t>Observability</w:t>
            </w:r>
          </w:p>
        </w:tc>
        <w:tc>
          <w:tcPr>
            <w:tcW w:type="dxa" w:w="2592"/>
            <w:vAlign w:val="top"/>
          </w:tcPr>
          <w:p>
            <w:r>
              <w:rPr>
                <w:sz w:val="15"/>
              </w:rPr>
              <w:t>OpenTelemetry + Prometheus/Grafana + centralized logs</w:t>
            </w:r>
          </w:p>
        </w:tc>
        <w:tc>
          <w:tcPr>
            <w:tcW w:type="dxa" w:w="2592"/>
            <w:vAlign w:val="top"/>
          </w:tcPr>
          <w:p>
            <w:r>
              <w:rPr>
                <w:sz w:val="15"/>
              </w:rPr>
              <w:t>Vendor-neutral traces/metrics/logs</w:t>
            </w:r>
          </w:p>
        </w:tc>
        <w:tc>
          <w:tcPr>
            <w:tcW w:type="dxa" w:w="2592"/>
            <w:vAlign w:val="top"/>
          </w:tcPr>
          <w:p>
            <w:r>
              <w:rPr>
                <w:sz w:val="15"/>
              </w:rPr>
              <w:t>Cloud-native equivalents</w:t>
            </w:r>
          </w:p>
        </w:tc>
      </w:tr>
      <w:tr>
        <w:tc>
          <w:tcPr>
            <w:tcW w:type="dxa" w:w="2592"/>
            <w:vAlign w:val="top"/>
          </w:tcPr>
          <w:p>
            <w:r>
              <w:rPr>
                <w:sz w:val="15"/>
              </w:rPr>
              <w:t>CI/CD</w:t>
            </w:r>
          </w:p>
        </w:tc>
        <w:tc>
          <w:tcPr>
            <w:tcW w:type="dxa" w:w="2592"/>
            <w:vAlign w:val="top"/>
          </w:tcPr>
          <w:p>
            <w:r>
              <w:rPr>
                <w:sz w:val="15"/>
              </w:rPr>
              <w:t>GitHub Actions/GitLab CI + image registry + IaC</w:t>
            </w:r>
          </w:p>
        </w:tc>
        <w:tc>
          <w:tcPr>
            <w:tcW w:type="dxa" w:w="2592"/>
            <w:vAlign w:val="top"/>
          </w:tcPr>
          <w:p>
            <w:r>
              <w:rPr>
                <w:sz w:val="15"/>
              </w:rPr>
              <w:t>Automated tests/security/scanning/deployments</w:t>
            </w:r>
          </w:p>
        </w:tc>
        <w:tc>
          <w:tcPr>
            <w:tcW w:type="dxa" w:w="2592"/>
            <w:vAlign w:val="top"/>
          </w:tcPr>
          <w:p>
            <w:r>
              <w:rPr>
                <w:sz w:val="15"/>
              </w:rPr>
              <w:t>Jenkins</w:t>
            </w:r>
          </w:p>
        </w:tc>
      </w:tr>
    </w:tbl>
    <w:p/>
    <w:p>
      <w:pPr>
        <w:pStyle w:val="Heading1"/>
      </w:pPr>
      <w:r>
        <w:t>4. Why not start with full microservices?</w:t>
      </w:r>
    </w:p>
    <w:p>
      <w:pPr>
        <w:pStyle w:val="ListBullet"/>
      </w:pPr>
      <w:r>
        <w:t>The CareJourney, Referral, Task and FollowUp domain is tightly coupled and should have strong transactional consistency early.</w:t>
      </w:r>
    </w:p>
    <w:p>
      <w:pPr>
        <w:pStyle w:val="ListBullet"/>
      </w:pPr>
      <w:r>
        <w:t>Every new service adds deployment, observability, security, versioning and data-ownership overhead.</w:t>
      </w:r>
    </w:p>
    <w:p>
      <w:pPr>
        <w:pStyle w:val="ListBullet"/>
      </w:pPr>
      <w:r>
        <w:t>External integrations already provide enough distributed-system complexity; the core should remain simpler until product-market/workflow fit is proven.</w:t>
      </w:r>
    </w:p>
    <w:p>
      <w:pPr>
        <w:pStyle w:val="ListBullet"/>
      </w:pPr>
      <w:r>
        <w:t>Extract services later when a module has independent scaling, failure isolation, ownership or release cadence requirements.</w:t>
      </w:r>
    </w:p>
    <w:p>
      <w:pPr>
        <w:pStyle w:val="Heading1"/>
      </w:pPr>
      <w:r>
        <w:t>5. Core application modules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DEDED"/>
            <w:vAlign w:val="center"/>
          </w:tcPr>
          <w:p>
            <w:r>
              <w:rPr>
                <w:sz w:val="15"/>
              </w:rPr>
              <w:t>Module</w:t>
            </w:r>
          </w:p>
        </w:tc>
        <w:tc>
          <w:tcPr>
            <w:tcW w:type="dxa" w:w="3456"/>
            <w:shd w:fill="EDEDED"/>
            <w:vAlign w:val="center"/>
          </w:tcPr>
          <w:p>
            <w:r>
              <w:rPr>
                <w:sz w:val="15"/>
              </w:rPr>
              <w:t>Owns</w:t>
            </w:r>
          </w:p>
        </w:tc>
        <w:tc>
          <w:tcPr>
            <w:tcW w:type="dxa" w:w="3456"/>
            <w:shd w:fill="EDEDED"/>
            <w:vAlign w:val="center"/>
          </w:tcPr>
          <w:p>
            <w:r>
              <w:rPr>
                <w:sz w:val="15"/>
              </w:rPr>
              <w:t>Core responsibilities</w:t>
            </w:r>
          </w:p>
        </w:tc>
      </w:tr>
      <w:tr>
        <w:tc>
          <w:tcPr>
            <w:tcW w:type="dxa" w:w="3456"/>
            <w:vAlign w:val="top"/>
          </w:tcPr>
          <w:p>
            <w:r>
              <w:rPr>
                <w:sz w:val="15"/>
              </w:rPr>
              <w:t>Identity &amp; Access</w:t>
            </w:r>
          </w:p>
        </w:tc>
        <w:tc>
          <w:tcPr>
            <w:tcW w:type="dxa" w:w="3456"/>
            <w:vAlign w:val="top"/>
          </w:tcPr>
          <w:p>
            <w:r>
              <w:rPr>
                <w:sz w:val="15"/>
              </w:rPr>
              <w:t>User/role/session policy</w:t>
            </w:r>
          </w:p>
        </w:tc>
        <w:tc>
          <w:tcPr>
            <w:tcW w:type="dxa" w:w="3456"/>
            <w:vAlign w:val="top"/>
          </w:tcPr>
          <w:p>
            <w:r>
              <w:rPr>
                <w:sz w:val="15"/>
              </w:rPr>
              <w:t>RBAC, facility scope, authentication integration, session/audit context</w:t>
            </w:r>
          </w:p>
        </w:tc>
      </w:tr>
      <w:tr>
        <w:tc>
          <w:tcPr>
            <w:tcW w:type="dxa" w:w="3456"/>
            <w:vAlign w:val="top"/>
          </w:tcPr>
          <w:p>
            <w:r>
              <w:rPr>
                <w:sz w:val="15"/>
              </w:rPr>
              <w:t>Patient Reference</w:t>
            </w:r>
          </w:p>
        </w:tc>
        <w:tc>
          <w:tcPr>
            <w:tcW w:type="dxa" w:w="3456"/>
            <w:vAlign w:val="top"/>
          </w:tcPr>
          <w:p>
            <w:r>
              <w:rPr>
                <w:sz w:val="15"/>
              </w:rPr>
              <w:t>Internal reference mapping</w:t>
            </w:r>
          </w:p>
        </w:tc>
        <w:tc>
          <w:tcPr>
            <w:tcW w:type="dxa" w:w="3456"/>
            <w:vAlign w:val="top"/>
          </w:tcPr>
          <w:p>
            <w:r>
              <w:rPr>
                <w:sz w:val="15"/>
              </w:rPr>
              <w:t>ABHA + programme/facility source references; deduplication workflow</w:t>
            </w:r>
          </w:p>
        </w:tc>
      </w:tr>
      <w:tr>
        <w:tc>
          <w:tcPr>
            <w:tcW w:type="dxa" w:w="3456"/>
            <w:vAlign w:val="top"/>
          </w:tcPr>
          <w:p>
            <w:r>
              <w:rPr>
                <w:sz w:val="15"/>
              </w:rPr>
              <w:t>Care Journey</w:t>
            </w:r>
          </w:p>
        </w:tc>
        <w:tc>
          <w:tcPr>
            <w:tcW w:type="dxa" w:w="3456"/>
            <w:vAlign w:val="top"/>
          </w:tcPr>
          <w:p>
            <w:r>
              <w:rPr>
                <w:sz w:val="15"/>
              </w:rPr>
              <w:t>Journey lifecycle</w:t>
            </w:r>
          </w:p>
        </w:tc>
        <w:tc>
          <w:tcPr>
            <w:tcW w:type="dxa" w:w="3456"/>
            <w:vAlign w:val="top"/>
          </w:tcPr>
          <w:p>
            <w:r>
              <w:rPr>
                <w:sz w:val="15"/>
              </w:rPr>
              <w:t>Create/read/transition journey; pathway templates; state validation</w:t>
            </w:r>
          </w:p>
        </w:tc>
      </w:tr>
      <w:tr>
        <w:tc>
          <w:tcPr>
            <w:tcW w:type="dxa" w:w="3456"/>
            <w:vAlign w:val="top"/>
          </w:tcPr>
          <w:p>
            <w:r>
              <w:rPr>
                <w:sz w:val="15"/>
              </w:rPr>
              <w:t>Referral</w:t>
            </w:r>
          </w:p>
        </w:tc>
        <w:tc>
          <w:tcPr>
            <w:tcW w:type="dxa" w:w="3456"/>
            <w:vAlign w:val="top"/>
          </w:tcPr>
          <w:p>
            <w:r>
              <w:rPr>
                <w:sz w:val="15"/>
              </w:rPr>
              <w:t>Closed-loop referral</w:t>
            </w:r>
          </w:p>
        </w:tc>
        <w:tc>
          <w:tcPr>
            <w:tcW w:type="dxa" w:w="3456"/>
            <w:vAlign w:val="top"/>
          </w:tcPr>
          <w:p>
            <w:r>
              <w:rPr>
                <w:sz w:val="15"/>
              </w:rPr>
              <w:t>Destination, reason, urgency, acceptance, appointment, arrival, outcome</w:t>
            </w:r>
          </w:p>
        </w:tc>
      </w:tr>
      <w:tr>
        <w:tc>
          <w:tcPr>
            <w:tcW w:type="dxa" w:w="3456"/>
            <w:vAlign w:val="top"/>
          </w:tcPr>
          <w:p>
            <w:r>
              <w:rPr>
                <w:sz w:val="15"/>
              </w:rPr>
              <w:t>Task &amp; Escalation</w:t>
            </w:r>
          </w:p>
        </w:tc>
        <w:tc>
          <w:tcPr>
            <w:tcW w:type="dxa" w:w="3456"/>
            <w:vAlign w:val="top"/>
          </w:tcPr>
          <w:p>
            <w:r>
              <w:rPr>
                <w:sz w:val="15"/>
              </w:rPr>
              <w:t>Operational work</w:t>
            </w:r>
          </w:p>
        </w:tc>
        <w:tc>
          <w:tcPr>
            <w:tcW w:type="dxa" w:w="3456"/>
            <w:vAlign w:val="top"/>
          </w:tcPr>
          <w:p>
            <w:r>
              <w:rPr>
                <w:sz w:val="15"/>
              </w:rPr>
              <w:t>Owner, priority, due time, SLA, escalation, completion evidence</w:t>
            </w:r>
          </w:p>
        </w:tc>
      </w:tr>
      <w:tr>
        <w:tc>
          <w:tcPr>
            <w:tcW w:type="dxa" w:w="3456"/>
            <w:vAlign w:val="top"/>
          </w:tcPr>
          <w:p>
            <w:r>
              <w:rPr>
                <w:sz w:val="15"/>
              </w:rPr>
              <w:t>Facility Capability</w:t>
            </w:r>
          </w:p>
        </w:tc>
        <w:tc>
          <w:tcPr>
            <w:tcW w:type="dxa" w:w="3456"/>
            <w:vAlign w:val="top"/>
          </w:tcPr>
          <w:p>
            <w:r>
              <w:rPr>
                <w:sz w:val="15"/>
              </w:rPr>
              <w:t>Operational capability snapshot</w:t>
            </w:r>
          </w:p>
        </w:tc>
        <w:tc>
          <w:tcPr>
            <w:tcW w:type="dxa" w:w="3456"/>
            <w:vAlign w:val="top"/>
          </w:tcPr>
          <w:p>
            <w:r>
              <w:rPr>
                <w:sz w:val="15"/>
              </w:rPr>
              <w:t>Services, specialties, diagnostic capacity, last verification</w:t>
            </w:r>
          </w:p>
        </w:tc>
      </w:tr>
      <w:tr>
        <w:tc>
          <w:tcPr>
            <w:tcW w:type="dxa" w:w="3456"/>
            <w:vAlign w:val="top"/>
          </w:tcPr>
          <w:p>
            <w:r>
              <w:rPr>
                <w:sz w:val="15"/>
              </w:rPr>
              <w:t>Appointment Coordinator</w:t>
            </w:r>
          </w:p>
        </w:tc>
        <w:tc>
          <w:tcPr>
            <w:tcW w:type="dxa" w:w="3456"/>
            <w:vAlign w:val="top"/>
          </w:tcPr>
          <w:p>
            <w:r>
              <w:rPr>
                <w:sz w:val="15"/>
              </w:rPr>
              <w:t>Booking relationship</w:t>
            </w:r>
          </w:p>
        </w:tc>
        <w:tc>
          <w:tcPr>
            <w:tcW w:type="dxa" w:w="3456"/>
            <w:vAlign w:val="top"/>
          </w:tcPr>
          <w:p>
            <w:r>
              <w:rPr>
                <w:sz w:val="15"/>
              </w:rPr>
              <w:t>UHI/facility booking references and status</w:t>
            </w:r>
          </w:p>
        </w:tc>
      </w:tr>
      <w:tr>
        <w:tc>
          <w:tcPr>
            <w:tcW w:type="dxa" w:w="3456"/>
            <w:vAlign w:val="top"/>
          </w:tcPr>
          <w:p>
            <w:r>
              <w:rPr>
                <w:sz w:val="15"/>
              </w:rPr>
              <w:t>Diagnostic Coordinator</w:t>
            </w:r>
          </w:p>
        </w:tc>
        <w:tc>
          <w:tcPr>
            <w:tcW w:type="dxa" w:w="3456"/>
            <w:vAlign w:val="top"/>
          </w:tcPr>
          <w:p>
            <w:r>
              <w:rPr>
                <w:sz w:val="15"/>
              </w:rPr>
              <w:t>Test journey</w:t>
            </w:r>
          </w:p>
        </w:tc>
        <w:tc>
          <w:tcPr>
            <w:tcW w:type="dxa" w:w="3456"/>
            <w:vAlign w:val="top"/>
          </w:tcPr>
          <w:p>
            <w:r>
              <w:rPr>
                <w:sz w:val="15"/>
              </w:rPr>
              <w:t>Order/sample/result tracking and SLA</w:t>
            </w:r>
          </w:p>
        </w:tc>
      </w:tr>
      <w:tr>
        <w:tc>
          <w:tcPr>
            <w:tcW w:type="dxa" w:w="3456"/>
            <w:vAlign w:val="top"/>
          </w:tcPr>
          <w:p>
            <w:r>
              <w:rPr>
                <w:sz w:val="15"/>
              </w:rPr>
              <w:t>Medication Coordinator</w:t>
            </w:r>
          </w:p>
        </w:tc>
        <w:tc>
          <w:tcPr>
            <w:tcW w:type="dxa" w:w="3456"/>
            <w:vAlign w:val="top"/>
          </w:tcPr>
          <w:p>
            <w:r>
              <w:rPr>
                <w:sz w:val="15"/>
              </w:rPr>
              <w:t>Fulfilment</w:t>
            </w:r>
          </w:p>
        </w:tc>
        <w:tc>
          <w:tcPr>
            <w:tcW w:type="dxa" w:w="3456"/>
            <w:vAlign w:val="top"/>
          </w:tcPr>
          <w:p>
            <w:r>
              <w:rPr>
                <w:sz w:val="15"/>
              </w:rPr>
              <w:t>Prescription reference, stock signal, dispensing outcome</w:t>
            </w:r>
          </w:p>
        </w:tc>
      </w:tr>
      <w:tr>
        <w:tc>
          <w:tcPr>
            <w:tcW w:type="dxa" w:w="3456"/>
            <w:vAlign w:val="top"/>
          </w:tcPr>
          <w:p>
            <w:r>
              <w:rPr>
                <w:sz w:val="15"/>
              </w:rPr>
              <w:t>Transport Coordinator</w:t>
            </w:r>
          </w:p>
        </w:tc>
        <w:tc>
          <w:tcPr>
            <w:tcW w:type="dxa" w:w="3456"/>
            <w:vAlign w:val="top"/>
          </w:tcPr>
          <w:p>
            <w:r>
              <w:rPr>
                <w:sz w:val="15"/>
              </w:rPr>
              <w:t>Referral transport</w:t>
            </w:r>
          </w:p>
        </w:tc>
        <w:tc>
          <w:tcPr>
            <w:tcW w:type="dxa" w:w="3456"/>
            <w:vAlign w:val="top"/>
          </w:tcPr>
          <w:p>
            <w:r>
              <w:rPr>
                <w:sz w:val="15"/>
              </w:rPr>
              <w:t>Transport need, request, dispatch, arrival</w:t>
            </w:r>
          </w:p>
        </w:tc>
      </w:tr>
      <w:tr>
        <w:tc>
          <w:tcPr>
            <w:tcW w:type="dxa" w:w="3456"/>
            <w:vAlign w:val="top"/>
          </w:tcPr>
          <w:p>
            <w:r>
              <w:rPr>
                <w:sz w:val="15"/>
              </w:rPr>
              <w:t>FollowUp</w:t>
            </w:r>
          </w:p>
        </w:tc>
        <w:tc>
          <w:tcPr>
            <w:tcW w:type="dxa" w:w="3456"/>
            <w:vAlign w:val="top"/>
          </w:tcPr>
          <w:p>
            <w:r>
              <w:rPr>
                <w:sz w:val="15"/>
              </w:rPr>
              <w:t>Longitudinal operational tasks</w:t>
            </w:r>
          </w:p>
        </w:tc>
        <w:tc>
          <w:tcPr>
            <w:tcW w:type="dxa" w:w="3456"/>
            <w:vAlign w:val="top"/>
          </w:tcPr>
          <w:p>
            <w:r>
              <w:rPr>
                <w:sz w:val="15"/>
              </w:rPr>
              <w:t>Due dates, outreach, repeat clinical review</w:t>
            </w:r>
          </w:p>
        </w:tc>
      </w:tr>
      <w:tr>
        <w:tc>
          <w:tcPr>
            <w:tcW w:type="dxa" w:w="3456"/>
            <w:vAlign w:val="top"/>
          </w:tcPr>
          <w:p>
            <w:r>
              <w:rPr>
                <w:sz w:val="15"/>
              </w:rPr>
              <w:t>Integration Hub</w:t>
            </w:r>
          </w:p>
        </w:tc>
        <w:tc>
          <w:tcPr>
            <w:tcW w:type="dxa" w:w="3456"/>
            <w:vAlign w:val="top"/>
          </w:tcPr>
          <w:p>
            <w:r>
              <w:rPr>
                <w:sz w:val="15"/>
              </w:rPr>
              <w:t>External contracts</w:t>
            </w:r>
          </w:p>
        </w:tc>
        <w:tc>
          <w:tcPr>
            <w:tcW w:type="dxa" w:w="3456"/>
            <w:vAlign w:val="top"/>
          </w:tcPr>
          <w:p>
            <w:r>
              <w:rPr>
                <w:sz w:val="15"/>
              </w:rPr>
              <w:t>Adapters, mappings, retries, callbacks, idempotency</w:t>
            </w:r>
          </w:p>
        </w:tc>
      </w:tr>
      <w:tr>
        <w:tc>
          <w:tcPr>
            <w:tcW w:type="dxa" w:w="3456"/>
            <w:vAlign w:val="top"/>
          </w:tcPr>
          <w:p>
            <w:r>
              <w:rPr>
                <w:sz w:val="15"/>
              </w:rPr>
              <w:t>Notification</w:t>
            </w:r>
          </w:p>
        </w:tc>
        <w:tc>
          <w:tcPr>
            <w:tcW w:type="dxa" w:w="3456"/>
            <w:vAlign w:val="top"/>
          </w:tcPr>
          <w:p>
            <w:r>
              <w:rPr>
                <w:sz w:val="15"/>
              </w:rPr>
              <w:t>Messages</w:t>
            </w:r>
          </w:p>
        </w:tc>
        <w:tc>
          <w:tcPr>
            <w:tcW w:type="dxa" w:w="3456"/>
            <w:vAlign w:val="top"/>
          </w:tcPr>
          <w:p>
            <w:r>
              <w:rPr>
                <w:sz w:val="15"/>
              </w:rPr>
              <w:t>SMS/voice/app/worker notifications subject to consent and policy</w:t>
            </w:r>
          </w:p>
        </w:tc>
      </w:tr>
      <w:tr>
        <w:tc>
          <w:tcPr>
            <w:tcW w:type="dxa" w:w="3456"/>
            <w:vAlign w:val="top"/>
          </w:tcPr>
          <w:p>
            <w:r>
              <w:rPr>
                <w:sz w:val="15"/>
              </w:rPr>
              <w:t>Analytics</w:t>
            </w:r>
          </w:p>
        </w:tc>
        <w:tc>
          <w:tcPr>
            <w:tcW w:type="dxa" w:w="3456"/>
            <w:vAlign w:val="top"/>
          </w:tcPr>
          <w:p>
            <w:r>
              <w:rPr>
                <w:sz w:val="15"/>
              </w:rPr>
              <w:t>Operational read models</w:t>
            </w:r>
          </w:p>
        </w:tc>
        <w:tc>
          <w:tcPr>
            <w:tcW w:type="dxa" w:w="3456"/>
            <w:vAlign w:val="top"/>
          </w:tcPr>
          <w:p>
            <w:r>
              <w:rPr>
                <w:sz w:val="15"/>
              </w:rPr>
              <w:t>Journey KPIs, bottlenecks, equity and capacity views</w:t>
            </w:r>
          </w:p>
        </w:tc>
      </w:tr>
      <w:tr>
        <w:tc>
          <w:tcPr>
            <w:tcW w:type="dxa" w:w="3456"/>
            <w:vAlign w:val="top"/>
          </w:tcPr>
          <w:p>
            <w:r>
              <w:rPr>
                <w:sz w:val="15"/>
              </w:rPr>
              <w:t>AI Decision Support</w:t>
            </w:r>
          </w:p>
        </w:tc>
        <w:tc>
          <w:tcPr>
            <w:tcW w:type="dxa" w:w="3456"/>
            <w:vAlign w:val="top"/>
          </w:tcPr>
          <w:p>
            <w:r>
              <w:rPr>
                <w:sz w:val="15"/>
              </w:rPr>
              <w:t>Non-autonomous assistance</w:t>
            </w:r>
          </w:p>
        </w:tc>
        <w:tc>
          <w:tcPr>
            <w:tcW w:type="dxa" w:w="3456"/>
            <w:vAlign w:val="top"/>
          </w:tcPr>
          <w:p>
            <w:r>
              <w:rPr>
                <w:sz w:val="15"/>
              </w:rPr>
              <w:t>Risk scoring, prioritization, translation, forecasting; human approval</w:t>
            </w:r>
          </w:p>
        </w:tc>
      </w:tr>
      <w:tr>
        <w:tc>
          <w:tcPr>
            <w:tcW w:type="dxa" w:w="3456"/>
            <w:vAlign w:val="top"/>
          </w:tcPr>
          <w:p>
            <w:r>
              <w:rPr>
                <w:sz w:val="15"/>
              </w:rPr>
              <w:t>Audit &amp; Provenance</w:t>
            </w:r>
          </w:p>
        </w:tc>
        <w:tc>
          <w:tcPr>
            <w:tcW w:type="dxa" w:w="3456"/>
            <w:vAlign w:val="top"/>
          </w:tcPr>
          <w:p>
            <w:r>
              <w:rPr>
                <w:sz w:val="15"/>
              </w:rPr>
              <w:t>Traceability</w:t>
            </w:r>
          </w:p>
        </w:tc>
        <w:tc>
          <w:tcPr>
            <w:tcW w:type="dxa" w:w="3456"/>
            <w:vAlign w:val="top"/>
          </w:tcPr>
          <w:p>
            <w:r>
              <w:rPr>
                <w:sz w:val="15"/>
              </w:rPr>
              <w:t>Immutable business/audit events, source system, transformation, actor</w:t>
            </w:r>
          </w:p>
        </w:tc>
      </w:tr>
    </w:tbl>
    <w:p/>
    <w:p>
      <w:pPr>
        <w:pStyle w:val="Heading1"/>
      </w:pPr>
      <w:r>
        <w:t>6. Database schema — minimum production model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DEDED"/>
            <w:vAlign w:val="center"/>
          </w:tcPr>
          <w:p>
            <w:r>
              <w:rPr>
                <w:sz w:val="15"/>
              </w:rPr>
              <w:t>Table</w:t>
            </w:r>
          </w:p>
        </w:tc>
        <w:tc>
          <w:tcPr>
            <w:tcW w:type="dxa" w:w="3456"/>
            <w:shd w:fill="EDEDED"/>
            <w:vAlign w:val="center"/>
          </w:tcPr>
          <w:p>
            <w:r>
              <w:rPr>
                <w:sz w:val="15"/>
              </w:rPr>
              <w:t>Important columns</w:t>
            </w:r>
          </w:p>
        </w:tc>
        <w:tc>
          <w:tcPr>
            <w:tcW w:type="dxa" w:w="3456"/>
            <w:shd w:fill="EDEDED"/>
            <w:vAlign w:val="center"/>
          </w:tcPr>
          <w:p>
            <w:r>
              <w:rPr>
                <w:sz w:val="15"/>
              </w:rPr>
              <w:t>Notes</w:t>
            </w:r>
          </w:p>
        </w:tc>
      </w:tr>
      <w:tr>
        <w:tc>
          <w:tcPr>
            <w:tcW w:type="dxa" w:w="3456"/>
            <w:vAlign w:val="top"/>
          </w:tcPr>
          <w:p>
            <w:r>
              <w:rPr>
                <w:sz w:val="15"/>
              </w:rPr>
              <w:t>patients</w:t>
            </w:r>
          </w:p>
        </w:tc>
        <w:tc>
          <w:tcPr>
            <w:tcW w:type="dxa" w:w="3456"/>
            <w:vAlign w:val="top"/>
          </w:tcPr>
          <w:p>
            <w:r>
              <w:rPr>
                <w:sz w:val="15"/>
              </w:rPr>
              <w:t>patient_ref, abha_ref, status, created_at</w:t>
            </w:r>
          </w:p>
        </w:tc>
        <w:tc>
          <w:tcPr>
            <w:tcW w:type="dxa" w:w="3456"/>
            <w:vAlign w:val="top"/>
          </w:tcPr>
          <w:p>
            <w:r>
              <w:rPr>
                <w:sz w:val="15"/>
              </w:rPr>
              <w:t>No duplicate national identity; references may be nullable</w:t>
            </w:r>
          </w:p>
        </w:tc>
      </w:tr>
      <w:tr>
        <w:tc>
          <w:tcPr>
            <w:tcW w:type="dxa" w:w="3456"/>
            <w:vAlign w:val="top"/>
          </w:tcPr>
          <w:p>
            <w:r>
              <w:rPr>
                <w:sz w:val="15"/>
              </w:rPr>
              <w:t>patient_source_refs</w:t>
            </w:r>
          </w:p>
        </w:tc>
        <w:tc>
          <w:tcPr>
            <w:tcW w:type="dxa" w:w="3456"/>
            <w:vAlign w:val="top"/>
          </w:tcPr>
          <w:p>
            <w:r>
              <w:rPr>
                <w:sz w:val="15"/>
              </w:rPr>
              <w:t>patient_ref, source_system, source_id, verified_at</w:t>
            </w:r>
          </w:p>
        </w:tc>
        <w:tc>
          <w:tcPr>
            <w:tcW w:type="dxa" w:w="3456"/>
            <w:vAlign w:val="top"/>
          </w:tcPr>
          <w:p>
            <w:r>
              <w:rPr>
                <w:sz w:val="15"/>
              </w:rPr>
              <w:t>Namespaced external identifiers</w:t>
            </w:r>
          </w:p>
        </w:tc>
      </w:tr>
      <w:tr>
        <w:tc>
          <w:tcPr>
            <w:tcW w:type="dxa" w:w="3456"/>
            <w:vAlign w:val="top"/>
          </w:tcPr>
          <w:p>
            <w:r>
              <w:rPr>
                <w:sz w:val="15"/>
              </w:rPr>
              <w:t>care_journeys</w:t>
            </w:r>
          </w:p>
        </w:tc>
        <w:tc>
          <w:tcPr>
            <w:tcW w:type="dxa" w:w="3456"/>
            <w:vAlign w:val="top"/>
          </w:tcPr>
          <w:p>
            <w:r>
              <w:rPr>
                <w:sz w:val="15"/>
              </w:rPr>
              <w:t>journey_id, patient_ref, pathway, state, priority, owner, opened_at, closed_at</w:t>
            </w:r>
          </w:p>
        </w:tc>
        <w:tc>
          <w:tcPr>
            <w:tcW w:type="dxa" w:w="3456"/>
            <w:vAlign w:val="top"/>
          </w:tcPr>
          <w:p>
            <w:r>
              <w:rPr>
                <w:sz w:val="15"/>
              </w:rPr>
              <w:t>Central operational episode</w:t>
            </w:r>
          </w:p>
        </w:tc>
      </w:tr>
      <w:tr>
        <w:tc>
          <w:tcPr>
            <w:tcW w:type="dxa" w:w="3456"/>
            <w:vAlign w:val="top"/>
          </w:tcPr>
          <w:p>
            <w:r>
              <w:rPr>
                <w:sz w:val="15"/>
              </w:rPr>
              <w:t>journey_events</w:t>
            </w:r>
          </w:p>
        </w:tc>
        <w:tc>
          <w:tcPr>
            <w:tcW w:type="dxa" w:w="3456"/>
            <w:vAlign w:val="top"/>
          </w:tcPr>
          <w:p>
            <w:r>
              <w:rPr>
                <w:sz w:val="15"/>
              </w:rPr>
              <w:t>event_id, journey_id, type, occurred_at, received_at, actor, source_system, payload_ref</w:t>
            </w:r>
          </w:p>
        </w:tc>
        <w:tc>
          <w:tcPr>
            <w:tcW w:type="dxa" w:w="3456"/>
            <w:vAlign w:val="top"/>
          </w:tcPr>
          <w:p>
            <w:r>
              <w:rPr>
                <w:sz w:val="15"/>
              </w:rPr>
              <w:t>Append-only</w:t>
            </w:r>
          </w:p>
        </w:tc>
      </w:tr>
      <w:tr>
        <w:tc>
          <w:tcPr>
            <w:tcW w:type="dxa" w:w="3456"/>
            <w:vAlign w:val="top"/>
          </w:tcPr>
          <w:p>
            <w:r>
              <w:rPr>
                <w:sz w:val="15"/>
              </w:rPr>
              <w:t>referrals</w:t>
            </w:r>
          </w:p>
        </w:tc>
        <w:tc>
          <w:tcPr>
            <w:tcW w:type="dxa" w:w="3456"/>
            <w:vAlign w:val="top"/>
          </w:tcPr>
          <w:p>
            <w:r>
              <w:rPr>
                <w:sz w:val="15"/>
              </w:rPr>
              <w:t>referral_id, journey_id, source_facility, destination_facility, reason, urgency, status, due_at</w:t>
            </w:r>
          </w:p>
        </w:tc>
        <w:tc>
          <w:tcPr>
            <w:tcW w:type="dxa" w:w="3456"/>
            <w:vAlign w:val="top"/>
          </w:tcPr>
          <w:p>
            <w:r>
              <w:rPr>
                <w:sz w:val="15"/>
              </w:rPr>
              <w:t>Closed-loop referral</w:t>
            </w:r>
          </w:p>
        </w:tc>
      </w:tr>
      <w:tr>
        <w:tc>
          <w:tcPr>
            <w:tcW w:type="dxa" w:w="3456"/>
            <w:vAlign w:val="top"/>
          </w:tcPr>
          <w:p>
            <w:r>
              <w:rPr>
                <w:sz w:val="15"/>
              </w:rPr>
              <w:t>appointments</w:t>
            </w:r>
          </w:p>
        </w:tc>
        <w:tc>
          <w:tcPr>
            <w:tcW w:type="dxa" w:w="3456"/>
            <w:vAlign w:val="top"/>
          </w:tcPr>
          <w:p>
            <w:r>
              <w:rPr>
                <w:sz w:val="15"/>
              </w:rPr>
              <w:t>appointment_ref, referral_id, provider_ref, facility_ref, slot_start, status, source_system</w:t>
            </w:r>
          </w:p>
        </w:tc>
        <w:tc>
          <w:tcPr>
            <w:tcW w:type="dxa" w:w="3456"/>
            <w:vAlign w:val="top"/>
          </w:tcPr>
          <w:p>
            <w:r>
              <w:rPr>
                <w:sz w:val="15"/>
              </w:rPr>
              <w:t>External appointment reference</w:t>
            </w:r>
          </w:p>
        </w:tc>
      </w:tr>
      <w:tr>
        <w:tc>
          <w:tcPr>
            <w:tcW w:type="dxa" w:w="3456"/>
            <w:vAlign w:val="top"/>
          </w:tcPr>
          <w:p>
            <w:r>
              <w:rPr>
                <w:sz w:val="15"/>
              </w:rPr>
              <w:t>diagnostic_orders</w:t>
            </w:r>
          </w:p>
        </w:tc>
        <w:tc>
          <w:tcPr>
            <w:tcW w:type="dxa" w:w="3456"/>
            <w:vAlign w:val="top"/>
          </w:tcPr>
          <w:p>
            <w:r>
              <w:rPr>
                <w:sz w:val="15"/>
              </w:rPr>
              <w:t>order_id, journey_id, test_code, facility_ref, status, ordered_at</w:t>
            </w:r>
          </w:p>
        </w:tc>
        <w:tc>
          <w:tcPr>
            <w:tcW w:type="dxa" w:w="3456"/>
            <w:vAlign w:val="top"/>
          </w:tcPr>
          <w:p>
            <w:r>
              <w:rPr>
                <w:sz w:val="15"/>
              </w:rPr>
              <w:t>Canonical test coordination</w:t>
            </w:r>
          </w:p>
        </w:tc>
      </w:tr>
      <w:tr>
        <w:tc>
          <w:tcPr>
            <w:tcW w:type="dxa" w:w="3456"/>
            <w:vAlign w:val="top"/>
          </w:tcPr>
          <w:p>
            <w:r>
              <w:rPr>
                <w:sz w:val="15"/>
              </w:rPr>
              <w:t>diagnostic_results</w:t>
            </w:r>
          </w:p>
        </w:tc>
        <w:tc>
          <w:tcPr>
            <w:tcW w:type="dxa" w:w="3456"/>
            <w:vAlign w:val="top"/>
          </w:tcPr>
          <w:p>
            <w:r>
              <w:rPr>
                <w:sz w:val="15"/>
              </w:rPr>
              <w:t>result_id, order_id, report_ref, issued_at, status, source_system</w:t>
            </w:r>
          </w:p>
        </w:tc>
        <w:tc>
          <w:tcPr>
            <w:tcW w:type="dxa" w:w="3456"/>
            <w:vAlign w:val="top"/>
          </w:tcPr>
          <w:p>
            <w:r>
              <w:rPr>
                <w:sz w:val="15"/>
              </w:rPr>
              <w:t>Reference authoritative report</w:t>
            </w:r>
          </w:p>
        </w:tc>
      </w:tr>
      <w:tr>
        <w:tc>
          <w:tcPr>
            <w:tcW w:type="dxa" w:w="3456"/>
            <w:vAlign w:val="top"/>
          </w:tcPr>
          <w:p>
            <w:r>
              <w:rPr>
                <w:sz w:val="15"/>
              </w:rPr>
              <w:t>medication_plans</w:t>
            </w:r>
          </w:p>
        </w:tc>
        <w:tc>
          <w:tcPr>
            <w:tcW w:type="dxa" w:w="3456"/>
            <w:vAlign w:val="top"/>
          </w:tcPr>
          <w:p>
            <w:r>
              <w:rPr>
                <w:sz w:val="15"/>
              </w:rPr>
              <w:t>medication_plan_id, journey_id, medication_code, instructions, status</w:t>
            </w:r>
          </w:p>
        </w:tc>
        <w:tc>
          <w:tcPr>
            <w:tcW w:type="dxa" w:w="3456"/>
            <w:vAlign w:val="top"/>
          </w:tcPr>
          <w:p>
            <w:r>
              <w:rPr>
                <w:sz w:val="15"/>
              </w:rPr>
              <w:t>Avoid becoming a pharmacy source system</w:t>
            </w:r>
          </w:p>
        </w:tc>
      </w:tr>
      <w:tr>
        <w:tc>
          <w:tcPr>
            <w:tcW w:type="dxa" w:w="3456"/>
            <w:vAlign w:val="top"/>
          </w:tcPr>
          <w:p>
            <w:r>
              <w:rPr>
                <w:sz w:val="15"/>
              </w:rPr>
              <w:t>transport_requests</w:t>
            </w:r>
          </w:p>
        </w:tc>
        <w:tc>
          <w:tcPr>
            <w:tcW w:type="dxa" w:w="3456"/>
            <w:vAlign w:val="top"/>
          </w:tcPr>
          <w:p>
            <w:r>
              <w:rPr>
                <w:sz w:val="15"/>
              </w:rPr>
              <w:t>transport_id, referral_id, mode, pickup, destination, status</w:t>
            </w:r>
          </w:p>
        </w:tc>
        <w:tc>
          <w:tcPr>
            <w:tcW w:type="dxa" w:w="3456"/>
            <w:vAlign w:val="top"/>
          </w:tcPr>
          <w:p>
            <w:r>
              <w:rPr>
                <w:sz w:val="15"/>
              </w:rPr>
              <w:t>External EMS reference</w:t>
            </w:r>
          </w:p>
        </w:tc>
      </w:tr>
      <w:tr>
        <w:tc>
          <w:tcPr>
            <w:tcW w:type="dxa" w:w="3456"/>
            <w:vAlign w:val="top"/>
          </w:tcPr>
          <w:p>
            <w:r>
              <w:rPr>
                <w:sz w:val="15"/>
              </w:rPr>
              <w:t>facility_capabilities</w:t>
            </w:r>
          </w:p>
        </w:tc>
        <w:tc>
          <w:tcPr>
            <w:tcW w:type="dxa" w:w="3456"/>
            <w:vAlign w:val="top"/>
          </w:tcPr>
          <w:p>
            <w:r>
              <w:rPr>
                <w:sz w:val="15"/>
              </w:rPr>
              <w:t>facility_id, capability_code, status, last_verified_at, source_system</w:t>
            </w:r>
          </w:p>
        </w:tc>
        <w:tc>
          <w:tcPr>
            <w:tcW w:type="dxa" w:w="3456"/>
            <w:vAlign w:val="top"/>
          </w:tcPr>
          <w:p>
            <w:r>
              <w:rPr>
                <w:sz w:val="15"/>
              </w:rPr>
              <w:t>Operational snapshot, not master registry</w:t>
            </w:r>
          </w:p>
        </w:tc>
      </w:tr>
      <w:tr>
        <w:tc>
          <w:tcPr>
            <w:tcW w:type="dxa" w:w="3456"/>
            <w:vAlign w:val="top"/>
          </w:tcPr>
          <w:p>
            <w:r>
              <w:rPr>
                <w:sz w:val="15"/>
              </w:rPr>
              <w:t>tasks</w:t>
            </w:r>
          </w:p>
        </w:tc>
        <w:tc>
          <w:tcPr>
            <w:tcW w:type="dxa" w:w="3456"/>
            <w:vAlign w:val="top"/>
          </w:tcPr>
          <w:p>
            <w:r>
              <w:rPr>
                <w:sz w:val="15"/>
              </w:rPr>
              <w:t>task_id, journey_id, type, owner, priority, due_at, status, escalation_level</w:t>
            </w:r>
          </w:p>
        </w:tc>
        <w:tc>
          <w:tcPr>
            <w:tcW w:type="dxa" w:w="3456"/>
            <w:vAlign w:val="top"/>
          </w:tcPr>
          <w:p>
            <w:r>
              <w:rPr>
                <w:sz w:val="15"/>
              </w:rPr>
              <w:t>Work management</w:t>
            </w:r>
          </w:p>
        </w:tc>
      </w:tr>
      <w:tr>
        <w:tc>
          <w:tcPr>
            <w:tcW w:type="dxa" w:w="3456"/>
            <w:vAlign w:val="top"/>
          </w:tcPr>
          <w:p>
            <w:r>
              <w:rPr>
                <w:sz w:val="15"/>
              </w:rPr>
              <w:t>followups</w:t>
            </w:r>
          </w:p>
        </w:tc>
        <w:tc>
          <w:tcPr>
            <w:tcW w:type="dxa" w:w="3456"/>
            <w:vAlign w:val="top"/>
          </w:tcPr>
          <w:p>
            <w:r>
              <w:rPr>
                <w:sz w:val="15"/>
              </w:rPr>
              <w:t>followup_id, journey_id, due_at, owner, type, status</w:t>
            </w:r>
          </w:p>
        </w:tc>
        <w:tc>
          <w:tcPr>
            <w:tcW w:type="dxa" w:w="3456"/>
            <w:vAlign w:val="top"/>
          </w:tcPr>
          <w:p>
            <w:r>
              <w:rPr>
                <w:sz w:val="15"/>
              </w:rPr>
              <w:t>Post-care continuity</w:t>
            </w:r>
          </w:p>
        </w:tc>
      </w:tr>
      <w:tr>
        <w:tc>
          <w:tcPr>
            <w:tcW w:type="dxa" w:w="3456"/>
            <w:vAlign w:val="top"/>
          </w:tcPr>
          <w:p>
            <w:r>
              <w:rPr>
                <w:sz w:val="15"/>
              </w:rPr>
              <w:t>consent_contexts</w:t>
            </w:r>
          </w:p>
        </w:tc>
        <w:tc>
          <w:tcPr>
            <w:tcW w:type="dxa" w:w="3456"/>
            <w:vAlign w:val="top"/>
          </w:tcPr>
          <w:p>
            <w:r>
              <w:rPr>
                <w:sz w:val="15"/>
              </w:rPr>
              <w:t>consent_id, patient_ref, purpose, scope, status, issued_at, expiry_at, source</w:t>
            </w:r>
          </w:p>
        </w:tc>
        <w:tc>
          <w:tcPr>
            <w:tcW w:type="dxa" w:w="3456"/>
            <w:vAlign w:val="top"/>
          </w:tcPr>
          <w:p>
            <w:r>
              <w:rPr>
                <w:sz w:val="15"/>
              </w:rPr>
              <w:t>Reference to consent evidence</w:t>
            </w:r>
          </w:p>
        </w:tc>
      </w:tr>
      <w:tr>
        <w:tc>
          <w:tcPr>
            <w:tcW w:type="dxa" w:w="3456"/>
            <w:vAlign w:val="top"/>
          </w:tcPr>
          <w:p>
            <w:r>
              <w:rPr>
                <w:sz w:val="15"/>
              </w:rPr>
              <w:t>integration_messages</w:t>
            </w:r>
          </w:p>
        </w:tc>
        <w:tc>
          <w:tcPr>
            <w:tcW w:type="dxa" w:w="3456"/>
            <w:vAlign w:val="top"/>
          </w:tcPr>
          <w:p>
            <w:r>
              <w:rPr>
                <w:sz w:val="15"/>
              </w:rPr>
              <w:t>message_id, source_system, idempotency_key, payload_hash, status, retry_count</w:t>
            </w:r>
          </w:p>
        </w:tc>
        <w:tc>
          <w:tcPr>
            <w:tcW w:type="dxa" w:w="3456"/>
            <w:vAlign w:val="top"/>
          </w:tcPr>
          <w:p>
            <w:r>
              <w:rPr>
                <w:sz w:val="15"/>
              </w:rPr>
              <w:t>Integration reliability</w:t>
            </w:r>
          </w:p>
        </w:tc>
      </w:tr>
      <w:tr>
        <w:tc>
          <w:tcPr>
            <w:tcW w:type="dxa" w:w="3456"/>
            <w:vAlign w:val="top"/>
          </w:tcPr>
          <w:p>
            <w:r>
              <w:rPr>
                <w:sz w:val="15"/>
              </w:rPr>
              <w:t>audit_events</w:t>
            </w:r>
          </w:p>
        </w:tc>
        <w:tc>
          <w:tcPr>
            <w:tcW w:type="dxa" w:w="3456"/>
            <w:vAlign w:val="top"/>
          </w:tcPr>
          <w:p>
            <w:r>
              <w:rPr>
                <w:sz w:val="15"/>
              </w:rPr>
              <w:t>audit_id, actor, action, resource_type, resource_id, time, reason</w:t>
            </w:r>
          </w:p>
        </w:tc>
        <w:tc>
          <w:tcPr>
            <w:tcW w:type="dxa" w:w="3456"/>
            <w:vAlign w:val="top"/>
          </w:tcPr>
          <w:p>
            <w:r>
              <w:rPr>
                <w:sz w:val="15"/>
              </w:rPr>
              <w:t>Security/compliance trail</w:t>
            </w:r>
          </w:p>
        </w:tc>
      </w:tr>
    </w:tbl>
    <w:p/>
    <w:p>
      <w:pPr>
        <w:pStyle w:val="Heading1"/>
      </w:pPr>
      <w:r>
        <w:t>7. Data ownership rule</w:t>
      </w:r>
    </w:p>
    <w:p>
      <w:r>
        <w:t>The platform stores operational references and the minimum data needed for coordination. It should not silently become the authoritative store for RCH, NP-NCD, U-WIN, Nikshay, PM-JAY, eSanjeevani or facility EHR data. Clinical documents retrieved through authorized exchange should retain source provenance and lifecycle metadata. The system should support links to authoritative records when possible and local cached copies only where justified by the workflow and policy.</w:t>
      </w:r>
    </w:p>
    <w:p>
      <w:pPr>
        <w:pStyle w:val="Heading1"/>
      </w:pPr>
      <w:r>
        <w:t>8. API gateway and BFF design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DEDED"/>
            <w:vAlign w:val="center"/>
          </w:tcPr>
          <w:p>
            <w:r>
              <w:rPr>
                <w:sz w:val="15"/>
              </w:rPr>
              <w:t>API boundary</w:t>
            </w:r>
          </w:p>
        </w:tc>
        <w:tc>
          <w:tcPr>
            <w:tcW w:type="dxa" w:w="3456"/>
            <w:shd w:fill="EDEDED"/>
            <w:vAlign w:val="center"/>
          </w:tcPr>
          <w:p>
            <w:r>
              <w:rPr>
                <w:sz w:val="15"/>
              </w:rPr>
              <w:t>Example routes</w:t>
            </w:r>
          </w:p>
        </w:tc>
        <w:tc>
          <w:tcPr>
            <w:tcW w:type="dxa" w:w="3456"/>
            <w:shd w:fill="EDEDED"/>
            <w:vAlign w:val="center"/>
          </w:tcPr>
          <w:p>
            <w:r>
              <w:rPr>
                <w:sz w:val="15"/>
              </w:rPr>
              <w:t>Rule</w:t>
            </w:r>
          </w:p>
        </w:tc>
      </w:tr>
      <w:tr>
        <w:tc>
          <w:tcPr>
            <w:tcW w:type="dxa" w:w="3456"/>
            <w:vAlign w:val="top"/>
          </w:tcPr>
          <w:p>
            <w:r>
              <w:rPr>
                <w:sz w:val="15"/>
              </w:rPr>
              <w:t>Mobile/Web → BFF</w:t>
            </w:r>
          </w:p>
        </w:tc>
        <w:tc>
          <w:tcPr>
            <w:tcW w:type="dxa" w:w="3456"/>
            <w:vAlign w:val="top"/>
          </w:tcPr>
          <w:p>
            <w:r>
              <w:rPr>
                <w:sz w:val="15"/>
              </w:rPr>
              <w:t>/v1/me, /v1/dashboard, /v1/journeys</w:t>
            </w:r>
          </w:p>
        </w:tc>
        <w:tc>
          <w:tcPr>
            <w:tcW w:type="dxa" w:w="3456"/>
            <w:vAlign w:val="top"/>
          </w:tcPr>
          <w:p>
            <w:r>
              <w:rPr>
                <w:sz w:val="15"/>
              </w:rPr>
              <w:t>Role-specific aggregation; avoid exposing internal tables</w:t>
            </w:r>
          </w:p>
        </w:tc>
      </w:tr>
      <w:tr>
        <w:tc>
          <w:tcPr>
            <w:tcW w:type="dxa" w:w="3456"/>
            <w:vAlign w:val="top"/>
          </w:tcPr>
          <w:p>
            <w:r>
              <w:rPr>
                <w:sz w:val="15"/>
              </w:rPr>
              <w:t>BFF → Core</w:t>
            </w:r>
          </w:p>
        </w:tc>
        <w:tc>
          <w:tcPr>
            <w:tcW w:type="dxa" w:w="3456"/>
            <w:vAlign w:val="top"/>
          </w:tcPr>
          <w:p>
            <w:r>
              <w:rPr>
                <w:sz w:val="15"/>
              </w:rPr>
              <w:t>Internal service calls</w:t>
            </w:r>
          </w:p>
        </w:tc>
        <w:tc>
          <w:tcPr>
            <w:tcW w:type="dxa" w:w="3456"/>
            <w:vAlign w:val="top"/>
          </w:tcPr>
          <w:p>
            <w:r>
              <w:rPr>
                <w:sz w:val="15"/>
              </w:rPr>
              <w:t>Strong auth context and correlation ID</w:t>
            </w:r>
          </w:p>
        </w:tc>
      </w:tr>
      <w:tr>
        <w:tc>
          <w:tcPr>
            <w:tcW w:type="dxa" w:w="3456"/>
            <w:vAlign w:val="top"/>
          </w:tcPr>
          <w:p>
            <w:r>
              <w:rPr>
                <w:sz w:val="15"/>
              </w:rPr>
              <w:t>Core → Integration Hub</w:t>
            </w:r>
          </w:p>
        </w:tc>
        <w:tc>
          <w:tcPr>
            <w:tcW w:type="dxa" w:w="3456"/>
            <w:vAlign w:val="top"/>
          </w:tcPr>
          <w:p>
            <w:r>
              <w:rPr>
                <w:sz w:val="15"/>
              </w:rPr>
              <w:t>/internal/integrations/{system}</w:t>
            </w:r>
          </w:p>
        </w:tc>
        <w:tc>
          <w:tcPr>
            <w:tcW w:type="dxa" w:w="3456"/>
            <w:vAlign w:val="top"/>
          </w:tcPr>
          <w:p>
            <w:r>
              <w:rPr>
                <w:sz w:val="15"/>
              </w:rPr>
              <w:t>Adapters own external protocol differences</w:t>
            </w:r>
          </w:p>
        </w:tc>
      </w:tr>
      <w:tr>
        <w:tc>
          <w:tcPr>
            <w:tcW w:type="dxa" w:w="3456"/>
            <w:vAlign w:val="top"/>
          </w:tcPr>
          <w:p>
            <w:r>
              <w:rPr>
                <w:sz w:val="15"/>
              </w:rPr>
              <w:t>External callback → Integration Hub</w:t>
            </w:r>
          </w:p>
        </w:tc>
        <w:tc>
          <w:tcPr>
            <w:tcW w:type="dxa" w:w="3456"/>
            <w:vAlign w:val="top"/>
          </w:tcPr>
          <w:p>
            <w:r>
              <w:rPr>
                <w:sz w:val="15"/>
              </w:rPr>
              <w:t>/callbacks/{system}/{event}</w:t>
            </w:r>
          </w:p>
        </w:tc>
        <w:tc>
          <w:tcPr>
            <w:tcW w:type="dxa" w:w="3456"/>
            <w:vAlign w:val="top"/>
          </w:tcPr>
          <w:p>
            <w:r>
              <w:rPr>
                <w:sz w:val="15"/>
              </w:rPr>
              <w:t>Verify signature/token, idempotent processing</w:t>
            </w:r>
          </w:p>
        </w:tc>
      </w:tr>
      <w:tr>
        <w:tc>
          <w:tcPr>
            <w:tcW w:type="dxa" w:w="3456"/>
            <w:vAlign w:val="top"/>
          </w:tcPr>
          <w:p>
            <w:r>
              <w:rPr>
                <w:sz w:val="15"/>
              </w:rPr>
              <w:t>Analytics</w:t>
            </w:r>
          </w:p>
        </w:tc>
        <w:tc>
          <w:tcPr>
            <w:tcW w:type="dxa" w:w="3456"/>
            <w:vAlign w:val="top"/>
          </w:tcPr>
          <w:p>
            <w:r>
              <w:rPr>
                <w:sz w:val="15"/>
              </w:rPr>
              <w:t>/v1/operations/*</w:t>
            </w:r>
          </w:p>
        </w:tc>
        <w:tc>
          <w:tcPr>
            <w:tcW w:type="dxa" w:w="3456"/>
            <w:vAlign w:val="top"/>
          </w:tcPr>
          <w:p>
            <w:r>
              <w:rPr>
                <w:sz w:val="15"/>
              </w:rPr>
              <w:t>Use read models; never run heavy analytics on transactional tables</w:t>
            </w:r>
          </w:p>
        </w:tc>
      </w:tr>
      <w:tr>
        <w:tc>
          <w:tcPr>
            <w:tcW w:type="dxa" w:w="3456"/>
            <w:vAlign w:val="top"/>
          </w:tcPr>
          <w:p>
            <w:r>
              <w:rPr>
                <w:sz w:val="15"/>
              </w:rPr>
              <w:t>AI</w:t>
            </w:r>
          </w:p>
        </w:tc>
        <w:tc>
          <w:tcPr>
            <w:tcW w:type="dxa" w:w="3456"/>
            <w:vAlign w:val="top"/>
          </w:tcPr>
          <w:p>
            <w:r>
              <w:rPr>
                <w:sz w:val="15"/>
              </w:rPr>
              <w:t>/v1/decision-support/*</w:t>
            </w:r>
          </w:p>
        </w:tc>
        <w:tc>
          <w:tcPr>
            <w:tcW w:type="dxa" w:w="3456"/>
            <w:vAlign w:val="top"/>
          </w:tcPr>
          <w:p>
            <w:r>
              <w:rPr>
                <w:sz w:val="15"/>
              </w:rPr>
              <w:t>Return recommendation + reasons + provenance; no autonomous clinical order</w:t>
            </w:r>
          </w:p>
        </w:tc>
      </w:tr>
    </w:tbl>
    <w:p/>
    <w:p>
      <w:pPr>
        <w:pStyle w:val="Heading1"/>
      </w:pPr>
      <w:r>
        <w:t>9. FHIR canonical mapping</w:t>
      </w:r>
    </w:p>
    <w:p>
      <w:r>
        <w:t>Use ABDM FHIR R4 profiles as the canonical clinical exchange model where the relevant resource/profile is defined. Internally, the domain model can remain optimized for workflow, while the integration layer maps between internal entities and FHIR resources.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DEDED"/>
            <w:vAlign w:val="center"/>
          </w:tcPr>
          <w:p>
            <w:r>
              <w:rPr>
                <w:sz w:val="15"/>
              </w:rPr>
              <w:t>Our domain</w:t>
            </w:r>
          </w:p>
        </w:tc>
        <w:tc>
          <w:tcPr>
            <w:tcW w:type="dxa" w:w="3456"/>
            <w:shd w:fill="EDEDED"/>
            <w:vAlign w:val="center"/>
          </w:tcPr>
          <w:p>
            <w:r>
              <w:rPr>
                <w:sz w:val="15"/>
              </w:rPr>
              <w:t>FHIR-aligned representation</w:t>
            </w:r>
          </w:p>
        </w:tc>
        <w:tc>
          <w:tcPr>
            <w:tcW w:type="dxa" w:w="3456"/>
            <w:shd w:fill="EDEDED"/>
            <w:vAlign w:val="center"/>
          </w:tcPr>
          <w:p>
            <w:r>
              <w:rPr>
                <w:sz w:val="15"/>
              </w:rPr>
              <w:t>Use</w:t>
            </w:r>
          </w:p>
        </w:tc>
      </w:tr>
      <w:tr>
        <w:tc>
          <w:tcPr>
            <w:tcW w:type="dxa" w:w="3456"/>
            <w:vAlign w:val="top"/>
          </w:tcPr>
          <w:p>
            <w:r>
              <w:rPr>
                <w:sz w:val="15"/>
              </w:rPr>
              <w:t>PatientRef</w:t>
            </w:r>
          </w:p>
        </w:tc>
        <w:tc>
          <w:tcPr>
            <w:tcW w:type="dxa" w:w="3456"/>
            <w:vAlign w:val="top"/>
          </w:tcPr>
          <w:p>
            <w:r>
              <w:rPr>
                <w:sz w:val="15"/>
              </w:rPr>
              <w:t>Patient</w:t>
            </w:r>
          </w:p>
        </w:tc>
        <w:tc>
          <w:tcPr>
            <w:tcW w:type="dxa" w:w="3456"/>
            <w:vAlign w:val="top"/>
          </w:tcPr>
          <w:p>
            <w:r>
              <w:rPr>
                <w:sz w:val="15"/>
              </w:rPr>
              <w:t>Identity/reference</w:t>
            </w:r>
          </w:p>
        </w:tc>
      </w:tr>
      <w:tr>
        <w:tc>
          <w:tcPr>
            <w:tcW w:type="dxa" w:w="3456"/>
            <w:vAlign w:val="top"/>
          </w:tcPr>
          <w:p>
            <w:r>
              <w:rPr>
                <w:sz w:val="15"/>
              </w:rPr>
              <w:t>CareJourney</w:t>
            </w:r>
          </w:p>
        </w:tc>
        <w:tc>
          <w:tcPr>
            <w:tcW w:type="dxa" w:w="3456"/>
            <w:vAlign w:val="top"/>
          </w:tcPr>
          <w:p>
            <w:r>
              <w:rPr>
                <w:sz w:val="15"/>
              </w:rPr>
              <w:t>CarePlan + Encounter references</w:t>
            </w:r>
          </w:p>
        </w:tc>
        <w:tc>
          <w:tcPr>
            <w:tcW w:type="dxa" w:w="3456"/>
            <w:vAlign w:val="top"/>
          </w:tcPr>
          <w:p>
            <w:r>
              <w:rPr>
                <w:sz w:val="15"/>
              </w:rPr>
              <w:t>Episode context</w:t>
            </w:r>
          </w:p>
        </w:tc>
      </w:tr>
      <w:tr>
        <w:tc>
          <w:tcPr>
            <w:tcW w:type="dxa" w:w="3456"/>
            <w:vAlign w:val="top"/>
          </w:tcPr>
          <w:p>
            <w:r>
              <w:rPr>
                <w:sz w:val="15"/>
              </w:rPr>
              <w:t>Triage observation</w:t>
            </w:r>
          </w:p>
        </w:tc>
        <w:tc>
          <w:tcPr>
            <w:tcW w:type="dxa" w:w="3456"/>
            <w:vAlign w:val="top"/>
          </w:tcPr>
          <w:p>
            <w:r>
              <w:rPr>
                <w:sz w:val="15"/>
              </w:rPr>
              <w:t>Observation</w:t>
            </w:r>
          </w:p>
        </w:tc>
        <w:tc>
          <w:tcPr>
            <w:tcW w:type="dxa" w:w="3456"/>
            <w:vAlign w:val="top"/>
          </w:tcPr>
          <w:p>
            <w:r>
              <w:rPr>
                <w:sz w:val="15"/>
              </w:rPr>
              <w:t>Measurements/risk observations</w:t>
            </w:r>
          </w:p>
        </w:tc>
      </w:tr>
      <w:tr>
        <w:tc>
          <w:tcPr>
            <w:tcW w:type="dxa" w:w="3456"/>
            <w:vAlign w:val="top"/>
          </w:tcPr>
          <w:p>
            <w:r>
              <w:rPr>
                <w:sz w:val="15"/>
              </w:rPr>
              <w:t>Referral / request</w:t>
            </w:r>
          </w:p>
        </w:tc>
        <w:tc>
          <w:tcPr>
            <w:tcW w:type="dxa" w:w="3456"/>
            <w:vAlign w:val="top"/>
          </w:tcPr>
          <w:p>
            <w:r>
              <w:rPr>
                <w:sz w:val="15"/>
              </w:rPr>
              <w:t>ServiceRequest</w:t>
            </w:r>
          </w:p>
        </w:tc>
        <w:tc>
          <w:tcPr>
            <w:tcW w:type="dxa" w:w="3456"/>
            <w:vAlign w:val="top"/>
          </w:tcPr>
          <w:p>
            <w:r>
              <w:rPr>
                <w:sz w:val="15"/>
              </w:rPr>
              <w:t>Request for service/referral/diagnostic</w:t>
            </w:r>
          </w:p>
        </w:tc>
      </w:tr>
      <w:tr>
        <w:tc>
          <w:tcPr>
            <w:tcW w:type="dxa" w:w="3456"/>
            <w:vAlign w:val="top"/>
          </w:tcPr>
          <w:p>
            <w:r>
              <w:rPr>
                <w:sz w:val="15"/>
              </w:rPr>
              <w:t>Operational work</w:t>
            </w:r>
          </w:p>
        </w:tc>
        <w:tc>
          <w:tcPr>
            <w:tcW w:type="dxa" w:w="3456"/>
            <w:vAlign w:val="top"/>
          </w:tcPr>
          <w:p>
            <w:r>
              <w:rPr>
                <w:sz w:val="15"/>
              </w:rPr>
              <w:t>Task</w:t>
            </w:r>
          </w:p>
        </w:tc>
        <w:tc>
          <w:tcPr>
            <w:tcW w:type="dxa" w:w="3456"/>
            <w:vAlign w:val="top"/>
          </w:tcPr>
          <w:p>
            <w:r>
              <w:rPr>
                <w:sz w:val="15"/>
              </w:rPr>
              <w:t>Stateful workflow task</w:t>
            </w:r>
          </w:p>
        </w:tc>
      </w:tr>
      <w:tr>
        <w:tc>
          <w:tcPr>
            <w:tcW w:type="dxa" w:w="3456"/>
            <w:vAlign w:val="top"/>
          </w:tcPr>
          <w:p>
            <w:r>
              <w:rPr>
                <w:sz w:val="15"/>
              </w:rPr>
              <w:t>Appointment</w:t>
            </w:r>
          </w:p>
        </w:tc>
        <w:tc>
          <w:tcPr>
            <w:tcW w:type="dxa" w:w="3456"/>
            <w:vAlign w:val="top"/>
          </w:tcPr>
          <w:p>
            <w:r>
              <w:rPr>
                <w:sz w:val="15"/>
              </w:rPr>
              <w:t>Appointment</w:t>
            </w:r>
          </w:p>
        </w:tc>
        <w:tc>
          <w:tcPr>
            <w:tcW w:type="dxa" w:w="3456"/>
            <w:vAlign w:val="top"/>
          </w:tcPr>
          <w:p>
            <w:r>
              <w:rPr>
                <w:sz w:val="15"/>
              </w:rPr>
              <w:t>Scheduled service</w:t>
            </w:r>
          </w:p>
        </w:tc>
      </w:tr>
      <w:tr>
        <w:tc>
          <w:tcPr>
            <w:tcW w:type="dxa" w:w="3456"/>
            <w:vAlign w:val="top"/>
          </w:tcPr>
          <w:p>
            <w:r>
              <w:rPr>
                <w:sz w:val="15"/>
              </w:rPr>
              <w:t>Diagnostic result</w:t>
            </w:r>
          </w:p>
        </w:tc>
        <w:tc>
          <w:tcPr>
            <w:tcW w:type="dxa" w:w="3456"/>
            <w:vAlign w:val="top"/>
          </w:tcPr>
          <w:p>
            <w:r>
              <w:rPr>
                <w:sz w:val="15"/>
              </w:rPr>
              <w:t>DiagnosticReport + Observation</w:t>
            </w:r>
          </w:p>
        </w:tc>
        <w:tc>
          <w:tcPr>
            <w:tcW w:type="dxa" w:w="3456"/>
            <w:vAlign w:val="top"/>
          </w:tcPr>
          <w:p>
            <w:r>
              <w:rPr>
                <w:sz w:val="15"/>
              </w:rPr>
              <w:t>Result/report</w:t>
            </w:r>
          </w:p>
        </w:tc>
      </w:tr>
      <w:tr>
        <w:tc>
          <w:tcPr>
            <w:tcW w:type="dxa" w:w="3456"/>
            <w:vAlign w:val="top"/>
          </w:tcPr>
          <w:p>
            <w:r>
              <w:rPr>
                <w:sz w:val="15"/>
              </w:rPr>
              <w:t>Medication order</w:t>
            </w:r>
          </w:p>
        </w:tc>
        <w:tc>
          <w:tcPr>
            <w:tcW w:type="dxa" w:w="3456"/>
            <w:vAlign w:val="top"/>
          </w:tcPr>
          <w:p>
            <w:r>
              <w:rPr>
                <w:sz w:val="15"/>
              </w:rPr>
              <w:t>MedicationRequest</w:t>
            </w:r>
          </w:p>
        </w:tc>
        <w:tc>
          <w:tcPr>
            <w:tcW w:type="dxa" w:w="3456"/>
            <w:vAlign w:val="top"/>
          </w:tcPr>
          <w:p>
            <w:r>
              <w:rPr>
                <w:sz w:val="15"/>
              </w:rPr>
              <w:t>Prescription/order</w:t>
            </w:r>
          </w:p>
        </w:tc>
      </w:tr>
      <w:tr>
        <w:tc>
          <w:tcPr>
            <w:tcW w:type="dxa" w:w="3456"/>
            <w:vAlign w:val="top"/>
          </w:tcPr>
          <w:p>
            <w:r>
              <w:rPr>
                <w:sz w:val="15"/>
              </w:rPr>
              <w:t>Consent</w:t>
            </w:r>
          </w:p>
        </w:tc>
        <w:tc>
          <w:tcPr>
            <w:tcW w:type="dxa" w:w="3456"/>
            <w:vAlign w:val="top"/>
          </w:tcPr>
          <w:p>
            <w:r>
              <w:rPr>
                <w:sz w:val="15"/>
              </w:rPr>
              <w:t>Consent</w:t>
            </w:r>
          </w:p>
        </w:tc>
        <w:tc>
          <w:tcPr>
            <w:tcW w:type="dxa" w:w="3456"/>
            <w:vAlign w:val="top"/>
          </w:tcPr>
          <w:p>
            <w:r>
              <w:rPr>
                <w:sz w:val="15"/>
              </w:rPr>
              <w:t>Consent context where appropriate</w:t>
            </w:r>
          </w:p>
        </w:tc>
      </w:tr>
      <w:tr>
        <w:tc>
          <w:tcPr>
            <w:tcW w:type="dxa" w:w="3456"/>
            <w:vAlign w:val="top"/>
          </w:tcPr>
          <w:p>
            <w:r>
              <w:rPr>
                <w:sz w:val="15"/>
              </w:rPr>
              <w:t>Audit</w:t>
            </w:r>
          </w:p>
        </w:tc>
        <w:tc>
          <w:tcPr>
            <w:tcW w:type="dxa" w:w="3456"/>
            <w:vAlign w:val="top"/>
          </w:tcPr>
          <w:p>
            <w:r>
              <w:rPr>
                <w:sz w:val="15"/>
              </w:rPr>
              <w:t>AuditEvent / Provenance</w:t>
            </w:r>
          </w:p>
        </w:tc>
        <w:tc>
          <w:tcPr>
            <w:tcW w:type="dxa" w:w="3456"/>
            <w:vAlign w:val="top"/>
          </w:tcPr>
          <w:p>
            <w:r>
              <w:rPr>
                <w:sz w:val="15"/>
              </w:rPr>
              <w:t>Accountability/source</w:t>
            </w:r>
          </w:p>
        </w:tc>
      </w:tr>
      <w:tr>
        <w:tc>
          <w:tcPr>
            <w:tcW w:type="dxa" w:w="3456"/>
            <w:vAlign w:val="top"/>
          </w:tcPr>
          <w:p>
            <w:r>
              <w:rPr>
                <w:sz w:val="15"/>
              </w:rPr>
              <w:t>Communication request</w:t>
            </w:r>
          </w:p>
        </w:tc>
        <w:tc>
          <w:tcPr>
            <w:tcW w:type="dxa" w:w="3456"/>
            <w:vAlign w:val="top"/>
          </w:tcPr>
          <w:p>
            <w:r>
              <w:rPr>
                <w:sz w:val="15"/>
              </w:rPr>
              <w:t>CommunicationRequest</w:t>
            </w:r>
          </w:p>
        </w:tc>
        <w:tc>
          <w:tcPr>
            <w:tcW w:type="dxa" w:w="3456"/>
            <w:vAlign w:val="top"/>
          </w:tcPr>
          <w:p>
            <w:r>
              <w:rPr>
                <w:sz w:val="15"/>
              </w:rPr>
              <w:t>Requested patient/provider communication</w:t>
            </w:r>
          </w:p>
        </w:tc>
      </w:tr>
    </w:tbl>
    <w:p/>
    <w:p>
      <w:r>
        <w:t>The current published ABDM FHIR implementation guide is v6.5.0, based on FHIR R4/4.0.1. Pin the implementation-guide package version for the pilot and validate every exchanged resource against that version.</w:t>
      </w:r>
    </w:p>
    <w:p>
      <w:pPr>
        <w:pStyle w:val="Heading1"/>
      </w:pPr>
      <w:r>
        <w:t>10. Integration adapter pattern</w:t>
      </w:r>
    </w:p>
    <w:p>
      <w:r>
        <w:t>Each external system receives its own adapter:</w:t>
      </w:r>
    </w:p>
    <w:p>
      <w:r>
        <w:t>ABDMAdapter</w:t>
        <w:br/>
        <w:t>UHIAdapter</w:t>
        <w:br/>
        <w:t>eSanjeevaniAdapter</w:t>
        <w:br/>
        <w:t>NCDAdapter</w:t>
        <w:br/>
        <w:t>RCHAdapter</w:t>
        <w:br/>
        <w:t>UWINAdapter</w:t>
        <w:br/>
        <w:t>NikshayAdapter</w:t>
        <w:br/>
        <w:t>PMJAYAdapter</w:t>
        <w:br/>
        <w:t>StateHISAdapter</w:t>
        <w:br/>
        <w:t>StateLISAdapter</w:t>
        <w:br/>
        <w:t>StateLMISAdapter</w:t>
        <w:br/>
        <w:t>EMSAdapter</w:t>
      </w:r>
    </w:p>
    <w:p>
      <w:r>
        <w:t>Each adapter exposes a stable internal contract to the orchestration core and hides endpoint versions, authentication details, payload transformation, retries, callbacks and state mapping. This prevents external API changes from propagating throughout the core product.</w:t>
      </w:r>
    </w:p>
    <w:p>
      <w:pPr>
        <w:pStyle w:val="Heading1"/>
      </w:pPr>
      <w:r>
        <w:t>11. Event-driven integration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EDEDED"/>
            <w:vAlign w:val="center"/>
          </w:tcPr>
          <w:p>
            <w:r>
              <w:rPr>
                <w:sz w:val="15"/>
              </w:rPr>
              <w:t>Event</w:t>
            </w:r>
          </w:p>
        </w:tc>
        <w:tc>
          <w:tcPr>
            <w:tcW w:type="dxa" w:w="2592"/>
            <w:shd w:fill="EDEDED"/>
            <w:vAlign w:val="center"/>
          </w:tcPr>
          <w:p>
            <w:r>
              <w:rPr>
                <w:sz w:val="15"/>
              </w:rPr>
              <w:t>Producer</w:t>
            </w:r>
          </w:p>
        </w:tc>
        <w:tc>
          <w:tcPr>
            <w:tcW w:type="dxa" w:w="2592"/>
            <w:shd w:fill="EDEDED"/>
            <w:vAlign w:val="center"/>
          </w:tcPr>
          <w:p>
            <w:r>
              <w:rPr>
                <w:sz w:val="15"/>
              </w:rPr>
              <w:t>Consumer</w:t>
            </w:r>
          </w:p>
        </w:tc>
        <w:tc>
          <w:tcPr>
            <w:tcW w:type="dxa" w:w="2592"/>
            <w:shd w:fill="EDEDED"/>
            <w:vAlign w:val="center"/>
          </w:tcPr>
          <w:p>
            <w:r>
              <w:rPr>
                <w:sz w:val="15"/>
              </w:rPr>
              <w:t>Guarantee</w:t>
            </w:r>
          </w:p>
        </w:tc>
      </w:tr>
      <w:tr>
        <w:tc>
          <w:tcPr>
            <w:tcW w:type="dxa" w:w="2592"/>
            <w:vAlign w:val="top"/>
          </w:tcPr>
          <w:p>
            <w:r>
              <w:rPr>
                <w:sz w:val="15"/>
              </w:rPr>
              <w:t>ReferralCreated</w:t>
            </w:r>
          </w:p>
        </w:tc>
        <w:tc>
          <w:tcPr>
            <w:tcW w:type="dxa" w:w="2592"/>
            <w:vAlign w:val="top"/>
          </w:tcPr>
          <w:p>
            <w:r>
              <w:rPr>
                <w:sz w:val="15"/>
              </w:rPr>
              <w:t>Core</w:t>
            </w:r>
          </w:p>
        </w:tc>
        <w:tc>
          <w:tcPr>
            <w:tcW w:type="dxa" w:w="2592"/>
            <w:vAlign w:val="top"/>
          </w:tcPr>
          <w:p>
            <w:r>
              <w:rPr>
                <w:sz w:val="15"/>
              </w:rPr>
              <w:t>FacilityMatcher, notification</w:t>
            </w:r>
          </w:p>
        </w:tc>
        <w:tc>
          <w:tcPr>
            <w:tcW w:type="dxa" w:w="2592"/>
            <w:vAlign w:val="top"/>
          </w:tcPr>
          <w:p>
            <w:r>
              <w:rPr>
                <w:sz w:val="15"/>
              </w:rPr>
              <w:t>At-least-once; idempotent</w:t>
            </w:r>
          </w:p>
        </w:tc>
      </w:tr>
      <w:tr>
        <w:tc>
          <w:tcPr>
            <w:tcW w:type="dxa" w:w="2592"/>
            <w:vAlign w:val="top"/>
          </w:tcPr>
          <w:p>
            <w:r>
              <w:rPr>
                <w:sz w:val="15"/>
              </w:rPr>
              <w:t>ReferralAccepted</w:t>
            </w:r>
          </w:p>
        </w:tc>
        <w:tc>
          <w:tcPr>
            <w:tcW w:type="dxa" w:w="2592"/>
            <w:vAlign w:val="top"/>
          </w:tcPr>
          <w:p>
            <w:r>
              <w:rPr>
                <w:sz w:val="15"/>
              </w:rPr>
              <w:t>External adapter</w:t>
            </w:r>
          </w:p>
        </w:tc>
        <w:tc>
          <w:tcPr>
            <w:tcW w:type="dxa" w:w="2592"/>
            <w:vAlign w:val="top"/>
          </w:tcPr>
          <w:p>
            <w:r>
              <w:rPr>
                <w:sz w:val="15"/>
              </w:rPr>
              <w:t>Journey engine</w:t>
            </w:r>
          </w:p>
        </w:tc>
        <w:tc>
          <w:tcPr>
            <w:tcW w:type="dxa" w:w="2592"/>
            <w:vAlign w:val="top"/>
          </w:tcPr>
          <w:p>
            <w:r>
              <w:rPr>
                <w:sz w:val="15"/>
              </w:rPr>
              <w:t>At-least-once</w:t>
            </w:r>
          </w:p>
        </w:tc>
      </w:tr>
      <w:tr>
        <w:tc>
          <w:tcPr>
            <w:tcW w:type="dxa" w:w="2592"/>
            <w:vAlign w:val="top"/>
          </w:tcPr>
          <w:p>
            <w:r>
              <w:rPr>
                <w:sz w:val="15"/>
              </w:rPr>
              <w:t>AppointmentConfirmed</w:t>
            </w:r>
          </w:p>
        </w:tc>
        <w:tc>
          <w:tcPr>
            <w:tcW w:type="dxa" w:w="2592"/>
            <w:vAlign w:val="top"/>
          </w:tcPr>
          <w:p>
            <w:r>
              <w:rPr>
                <w:sz w:val="15"/>
              </w:rPr>
              <w:t>UHI/facility adapter</w:t>
            </w:r>
          </w:p>
        </w:tc>
        <w:tc>
          <w:tcPr>
            <w:tcW w:type="dxa" w:w="2592"/>
            <w:vAlign w:val="top"/>
          </w:tcPr>
          <w:p>
            <w:r>
              <w:rPr>
                <w:sz w:val="15"/>
              </w:rPr>
              <w:t>Journey engine</w:t>
            </w:r>
          </w:p>
        </w:tc>
        <w:tc>
          <w:tcPr>
            <w:tcW w:type="dxa" w:w="2592"/>
            <w:vAlign w:val="top"/>
          </w:tcPr>
          <w:p>
            <w:r>
              <w:rPr>
                <w:sz w:val="15"/>
              </w:rPr>
              <w:t>At-least-once</w:t>
            </w:r>
          </w:p>
        </w:tc>
      </w:tr>
      <w:tr>
        <w:tc>
          <w:tcPr>
            <w:tcW w:type="dxa" w:w="2592"/>
            <w:vAlign w:val="top"/>
          </w:tcPr>
          <w:p>
            <w:r>
              <w:rPr>
                <w:sz w:val="15"/>
              </w:rPr>
              <w:t>DiagnosticResultAvailable</w:t>
            </w:r>
          </w:p>
        </w:tc>
        <w:tc>
          <w:tcPr>
            <w:tcW w:type="dxa" w:w="2592"/>
            <w:vAlign w:val="top"/>
          </w:tcPr>
          <w:p>
            <w:r>
              <w:rPr>
                <w:sz w:val="15"/>
              </w:rPr>
              <w:t>LIS adapter</w:t>
            </w:r>
          </w:p>
        </w:tc>
        <w:tc>
          <w:tcPr>
            <w:tcW w:type="dxa" w:w="2592"/>
            <w:vAlign w:val="top"/>
          </w:tcPr>
          <w:p>
            <w:r>
              <w:rPr>
                <w:sz w:val="15"/>
              </w:rPr>
              <w:t>Journey/follow-up</w:t>
            </w:r>
          </w:p>
        </w:tc>
        <w:tc>
          <w:tcPr>
            <w:tcW w:type="dxa" w:w="2592"/>
            <w:vAlign w:val="top"/>
          </w:tcPr>
          <w:p>
            <w:r>
              <w:rPr>
                <w:sz w:val="15"/>
              </w:rPr>
              <w:t>At-least-once</w:t>
            </w:r>
          </w:p>
        </w:tc>
      </w:tr>
      <w:tr>
        <w:tc>
          <w:tcPr>
            <w:tcW w:type="dxa" w:w="2592"/>
            <w:vAlign w:val="top"/>
          </w:tcPr>
          <w:p>
            <w:r>
              <w:rPr>
                <w:sz w:val="15"/>
              </w:rPr>
              <w:t>PatientArrived</w:t>
            </w:r>
          </w:p>
        </w:tc>
        <w:tc>
          <w:tcPr>
            <w:tcW w:type="dxa" w:w="2592"/>
            <w:vAlign w:val="top"/>
          </w:tcPr>
          <w:p>
            <w:r>
              <w:rPr>
                <w:sz w:val="15"/>
              </w:rPr>
              <w:t>Facility adapter</w:t>
            </w:r>
          </w:p>
        </w:tc>
        <w:tc>
          <w:tcPr>
            <w:tcW w:type="dxa" w:w="2592"/>
            <w:vAlign w:val="top"/>
          </w:tcPr>
          <w:p>
            <w:r>
              <w:rPr>
                <w:sz w:val="15"/>
              </w:rPr>
              <w:t>Journey engine</w:t>
            </w:r>
          </w:p>
        </w:tc>
        <w:tc>
          <w:tcPr>
            <w:tcW w:type="dxa" w:w="2592"/>
            <w:vAlign w:val="top"/>
          </w:tcPr>
          <w:p>
            <w:r>
              <w:rPr>
                <w:sz w:val="15"/>
              </w:rPr>
              <w:t>At-least-once</w:t>
            </w:r>
          </w:p>
        </w:tc>
      </w:tr>
      <w:tr>
        <w:tc>
          <w:tcPr>
            <w:tcW w:type="dxa" w:w="2592"/>
            <w:vAlign w:val="top"/>
          </w:tcPr>
          <w:p>
            <w:r>
              <w:rPr>
                <w:sz w:val="15"/>
              </w:rPr>
              <w:t>TransportDispatched</w:t>
            </w:r>
          </w:p>
        </w:tc>
        <w:tc>
          <w:tcPr>
            <w:tcW w:type="dxa" w:w="2592"/>
            <w:vAlign w:val="top"/>
          </w:tcPr>
          <w:p>
            <w:r>
              <w:rPr>
                <w:sz w:val="15"/>
              </w:rPr>
              <w:t>EMS adapter</w:t>
            </w:r>
          </w:p>
        </w:tc>
        <w:tc>
          <w:tcPr>
            <w:tcW w:type="dxa" w:w="2592"/>
            <w:vAlign w:val="top"/>
          </w:tcPr>
          <w:p>
            <w:r>
              <w:rPr>
                <w:sz w:val="15"/>
              </w:rPr>
              <w:t>Journey engine</w:t>
            </w:r>
          </w:p>
        </w:tc>
        <w:tc>
          <w:tcPr>
            <w:tcW w:type="dxa" w:w="2592"/>
            <w:vAlign w:val="top"/>
          </w:tcPr>
          <w:p>
            <w:r>
              <w:rPr>
                <w:sz w:val="15"/>
              </w:rPr>
              <w:t>At-least-once</w:t>
            </w:r>
          </w:p>
        </w:tc>
      </w:tr>
      <w:tr>
        <w:tc>
          <w:tcPr>
            <w:tcW w:type="dxa" w:w="2592"/>
            <w:vAlign w:val="top"/>
          </w:tcPr>
          <w:p>
            <w:r>
              <w:rPr>
                <w:sz w:val="15"/>
              </w:rPr>
              <w:t>TreatmentCompleted</w:t>
            </w:r>
          </w:p>
        </w:tc>
        <w:tc>
          <w:tcPr>
            <w:tcW w:type="dxa" w:w="2592"/>
            <w:vAlign w:val="top"/>
          </w:tcPr>
          <w:p>
            <w:r>
              <w:rPr>
                <w:sz w:val="15"/>
              </w:rPr>
              <w:t>HIS adapter</w:t>
            </w:r>
          </w:p>
        </w:tc>
        <w:tc>
          <w:tcPr>
            <w:tcW w:type="dxa" w:w="2592"/>
            <w:vAlign w:val="top"/>
          </w:tcPr>
          <w:p>
            <w:r>
              <w:rPr>
                <w:sz w:val="15"/>
              </w:rPr>
              <w:t>FollowUp</w:t>
            </w:r>
          </w:p>
        </w:tc>
        <w:tc>
          <w:tcPr>
            <w:tcW w:type="dxa" w:w="2592"/>
            <w:vAlign w:val="top"/>
          </w:tcPr>
          <w:p>
            <w:r>
              <w:rPr>
                <w:sz w:val="15"/>
              </w:rPr>
              <w:t>At-least-once</w:t>
            </w:r>
          </w:p>
        </w:tc>
      </w:tr>
      <w:tr>
        <w:tc>
          <w:tcPr>
            <w:tcW w:type="dxa" w:w="2592"/>
            <w:vAlign w:val="top"/>
          </w:tcPr>
          <w:p>
            <w:r>
              <w:rPr>
                <w:sz w:val="15"/>
              </w:rPr>
              <w:t>FollowUpOverdue</w:t>
            </w:r>
          </w:p>
        </w:tc>
        <w:tc>
          <w:tcPr>
            <w:tcW w:type="dxa" w:w="2592"/>
            <w:vAlign w:val="top"/>
          </w:tcPr>
          <w:p>
            <w:r>
              <w:rPr>
                <w:sz w:val="15"/>
              </w:rPr>
              <w:t>Scheduler</w:t>
            </w:r>
          </w:p>
        </w:tc>
        <w:tc>
          <w:tcPr>
            <w:tcW w:type="dxa" w:w="2592"/>
            <w:vAlign w:val="top"/>
          </w:tcPr>
          <w:p>
            <w:r>
              <w:rPr>
                <w:sz w:val="15"/>
              </w:rPr>
              <w:t>Escalation engine</w:t>
            </w:r>
          </w:p>
        </w:tc>
        <w:tc>
          <w:tcPr>
            <w:tcW w:type="dxa" w:w="2592"/>
            <w:vAlign w:val="top"/>
          </w:tcPr>
          <w:p>
            <w:r>
              <w:rPr>
                <w:sz w:val="15"/>
              </w:rPr>
              <w:t>Exactly-once effect via idempotency</w:t>
            </w:r>
          </w:p>
        </w:tc>
      </w:tr>
      <w:tr>
        <w:tc>
          <w:tcPr>
            <w:tcW w:type="dxa" w:w="2592"/>
            <w:vAlign w:val="top"/>
          </w:tcPr>
          <w:p>
            <w:r>
              <w:rPr>
                <w:sz w:val="15"/>
              </w:rPr>
              <w:t>IntegrationFailed</w:t>
            </w:r>
          </w:p>
        </w:tc>
        <w:tc>
          <w:tcPr>
            <w:tcW w:type="dxa" w:w="2592"/>
            <w:vAlign w:val="top"/>
          </w:tcPr>
          <w:p>
            <w:r>
              <w:rPr>
                <w:sz w:val="15"/>
              </w:rPr>
              <w:t>Adapter</w:t>
            </w:r>
          </w:p>
        </w:tc>
        <w:tc>
          <w:tcPr>
            <w:tcW w:type="dxa" w:w="2592"/>
            <w:vAlign w:val="top"/>
          </w:tcPr>
          <w:p>
            <w:r>
              <w:rPr>
                <w:sz w:val="15"/>
              </w:rPr>
              <w:t>Operations</w:t>
            </w:r>
          </w:p>
        </w:tc>
        <w:tc>
          <w:tcPr>
            <w:tcW w:type="dxa" w:w="2592"/>
            <w:vAlign w:val="top"/>
          </w:tcPr>
          <w:p>
            <w:r>
              <w:rPr>
                <w:sz w:val="15"/>
              </w:rPr>
              <w:t>At-least-once</w:t>
            </w:r>
          </w:p>
        </w:tc>
      </w:tr>
    </w:tbl>
    <w:p/>
    <w:p>
      <w:pPr>
        <w:pStyle w:val="Heading1"/>
      </w:pPr>
      <w:r>
        <w:t>12. Offline-first architecture</w:t>
      </w:r>
    </w:p>
    <w:p>
      <w:r>
        <w:t>The mobile edge client needs a local encrypted store, outbox/inbox queues and deterministic synchronization. Only data permitted for offline retention should be stored. Every offline mutation gets a globally unique EventID and Idempotency-Key.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DEDED"/>
            <w:vAlign w:val="center"/>
          </w:tcPr>
          <w:p>
            <w:r>
              <w:rPr>
                <w:sz w:val="15"/>
              </w:rPr>
              <w:t>Component</w:t>
            </w:r>
          </w:p>
        </w:tc>
        <w:tc>
          <w:tcPr>
            <w:tcW w:type="dxa" w:w="5184"/>
            <w:shd w:fill="EDEDED"/>
            <w:vAlign w:val="center"/>
          </w:tcPr>
          <w:p>
            <w:r>
              <w:rPr>
                <w:sz w:val="15"/>
              </w:rPr>
              <w:t>Purpose</w:t>
            </w:r>
          </w:p>
        </w:tc>
      </w:tr>
      <w:tr>
        <w:tc>
          <w:tcPr>
            <w:tcW w:type="dxa" w:w="5184"/>
            <w:vAlign w:val="top"/>
          </w:tcPr>
          <w:p>
            <w:r>
              <w:rPr>
                <w:sz w:val="15"/>
              </w:rPr>
              <w:t>Local encrypted DB</w:t>
            </w:r>
          </w:p>
        </w:tc>
        <w:tc>
          <w:tcPr>
            <w:tcW w:type="dxa" w:w="5184"/>
            <w:vAlign w:val="top"/>
          </w:tcPr>
          <w:p>
            <w:r>
              <w:rPr>
                <w:sz w:val="15"/>
              </w:rPr>
              <w:t>Pending journeys/tasks and limited cached reference data</w:t>
            </w:r>
          </w:p>
        </w:tc>
      </w:tr>
      <w:tr>
        <w:tc>
          <w:tcPr>
            <w:tcW w:type="dxa" w:w="5184"/>
            <w:vAlign w:val="top"/>
          </w:tcPr>
          <w:p>
            <w:r>
              <w:rPr>
                <w:sz w:val="15"/>
              </w:rPr>
              <w:t>Outbox</w:t>
            </w:r>
          </w:p>
        </w:tc>
        <w:tc>
          <w:tcPr>
            <w:tcW w:type="dxa" w:w="5184"/>
            <w:vAlign w:val="top"/>
          </w:tcPr>
          <w:p>
            <w:r>
              <w:rPr>
                <w:sz w:val="15"/>
              </w:rPr>
              <w:t>Unsynced mutations waiting for server acknowledgement</w:t>
            </w:r>
          </w:p>
        </w:tc>
      </w:tr>
      <w:tr>
        <w:tc>
          <w:tcPr>
            <w:tcW w:type="dxa" w:w="5184"/>
            <w:vAlign w:val="top"/>
          </w:tcPr>
          <w:p>
            <w:r>
              <w:rPr>
                <w:sz w:val="15"/>
              </w:rPr>
              <w:t>Inbox</w:t>
            </w:r>
          </w:p>
        </w:tc>
        <w:tc>
          <w:tcPr>
            <w:tcW w:type="dxa" w:w="5184"/>
            <w:vAlign w:val="top"/>
          </w:tcPr>
          <w:p>
            <w:r>
              <w:rPr>
                <w:sz w:val="15"/>
              </w:rPr>
              <w:t>Received server events not yet applied locally</w:t>
            </w:r>
          </w:p>
        </w:tc>
      </w:tr>
      <w:tr>
        <w:tc>
          <w:tcPr>
            <w:tcW w:type="dxa" w:w="5184"/>
            <w:vAlign w:val="top"/>
          </w:tcPr>
          <w:p>
            <w:r>
              <w:rPr>
                <w:sz w:val="15"/>
              </w:rPr>
              <w:t>Sync cursor</w:t>
            </w:r>
          </w:p>
        </w:tc>
        <w:tc>
          <w:tcPr>
            <w:tcW w:type="dxa" w:w="5184"/>
            <w:vAlign w:val="top"/>
          </w:tcPr>
          <w:p>
            <w:r>
              <w:rPr>
                <w:sz w:val="15"/>
              </w:rPr>
              <w:t>Last acknowledged server sequence/version</w:t>
            </w:r>
          </w:p>
        </w:tc>
      </w:tr>
      <w:tr>
        <w:tc>
          <w:tcPr>
            <w:tcW w:type="dxa" w:w="5184"/>
            <w:vAlign w:val="top"/>
          </w:tcPr>
          <w:p>
            <w:r>
              <w:rPr>
                <w:sz w:val="15"/>
              </w:rPr>
              <w:t>Conflict resolver</w:t>
            </w:r>
          </w:p>
        </w:tc>
        <w:tc>
          <w:tcPr>
            <w:tcW w:type="dxa" w:w="5184"/>
            <w:vAlign w:val="top"/>
          </w:tcPr>
          <w:p>
            <w:r>
              <w:rPr>
                <w:sz w:val="15"/>
              </w:rPr>
              <w:t>Handles stale demographics, duplicate submissions and out-of-order events</w:t>
            </w:r>
          </w:p>
        </w:tc>
      </w:tr>
      <w:tr>
        <w:tc>
          <w:tcPr>
            <w:tcW w:type="dxa" w:w="5184"/>
            <w:vAlign w:val="top"/>
          </w:tcPr>
          <w:p>
            <w:r>
              <w:rPr>
                <w:sz w:val="15"/>
              </w:rPr>
              <w:t>Retry manager</w:t>
            </w:r>
          </w:p>
        </w:tc>
        <w:tc>
          <w:tcPr>
            <w:tcW w:type="dxa" w:w="5184"/>
            <w:vAlign w:val="top"/>
          </w:tcPr>
          <w:p>
            <w:r>
              <w:rPr>
                <w:sz w:val="15"/>
              </w:rPr>
              <w:t>Exponential backoff with max retries</w:t>
            </w:r>
          </w:p>
        </w:tc>
      </w:tr>
      <w:tr>
        <w:tc>
          <w:tcPr>
            <w:tcW w:type="dxa" w:w="5184"/>
            <w:vAlign w:val="top"/>
          </w:tcPr>
          <w:p>
            <w:r>
              <w:rPr>
                <w:sz w:val="15"/>
              </w:rPr>
              <w:t>Dead-letter queue</w:t>
            </w:r>
          </w:p>
        </w:tc>
        <w:tc>
          <w:tcPr>
            <w:tcW w:type="dxa" w:w="5184"/>
            <w:vAlign w:val="top"/>
          </w:tcPr>
          <w:p>
            <w:r>
              <w:rPr>
                <w:sz w:val="15"/>
              </w:rPr>
              <w:t>Manual reconciliation for persistent failures</w:t>
            </w:r>
          </w:p>
        </w:tc>
      </w:tr>
      <w:tr>
        <w:tc>
          <w:tcPr>
            <w:tcW w:type="dxa" w:w="5184"/>
            <w:vAlign w:val="top"/>
          </w:tcPr>
          <w:p>
            <w:r>
              <w:rPr>
                <w:sz w:val="15"/>
              </w:rPr>
              <w:t>Data TTL</w:t>
            </w:r>
          </w:p>
        </w:tc>
        <w:tc>
          <w:tcPr>
            <w:tcW w:type="dxa" w:w="5184"/>
            <w:vAlign w:val="top"/>
          </w:tcPr>
          <w:p>
            <w:r>
              <w:rPr>
                <w:sz w:val="15"/>
              </w:rPr>
              <w:t>Automatically removes sensitive local data after policy-defined interval</w:t>
            </w:r>
          </w:p>
        </w:tc>
      </w:tr>
    </w:tbl>
    <w:p/>
    <w:p>
      <w:pPr>
        <w:pStyle w:val="Heading1"/>
      </w:pPr>
      <w:r>
        <w:t>13. Conflict rules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DEDED"/>
            <w:vAlign w:val="center"/>
          </w:tcPr>
          <w:p>
            <w:r>
              <w:rPr>
                <w:sz w:val="15"/>
              </w:rPr>
              <w:t>Conflict</w:t>
            </w:r>
          </w:p>
        </w:tc>
        <w:tc>
          <w:tcPr>
            <w:tcW w:type="dxa" w:w="5184"/>
            <w:shd w:fill="EDEDED"/>
            <w:vAlign w:val="center"/>
          </w:tcPr>
          <w:p>
            <w:r>
              <w:rPr>
                <w:sz w:val="15"/>
              </w:rPr>
              <w:t>Default rule</w:t>
            </w:r>
          </w:p>
        </w:tc>
      </w:tr>
      <w:tr>
        <w:tc>
          <w:tcPr>
            <w:tcW w:type="dxa" w:w="5184"/>
            <w:vAlign w:val="top"/>
          </w:tcPr>
          <w:p>
            <w:r>
              <w:rPr>
                <w:sz w:val="15"/>
              </w:rPr>
              <w:t>Duplicate event</w:t>
            </w:r>
          </w:p>
        </w:tc>
        <w:tc>
          <w:tcPr>
            <w:tcW w:type="dxa" w:w="5184"/>
            <w:vAlign w:val="top"/>
          </w:tcPr>
          <w:p>
            <w:r>
              <w:rPr>
                <w:sz w:val="15"/>
              </w:rPr>
              <w:t>EventID wins; ignore duplicate application</w:t>
            </w:r>
          </w:p>
        </w:tc>
      </w:tr>
      <w:tr>
        <w:tc>
          <w:tcPr>
            <w:tcW w:type="dxa" w:w="5184"/>
            <w:vAlign w:val="top"/>
          </w:tcPr>
          <w:p>
            <w:r>
              <w:rPr>
                <w:sz w:val="15"/>
              </w:rPr>
              <w:t>Same task completed twice</w:t>
            </w:r>
          </w:p>
        </w:tc>
        <w:tc>
          <w:tcPr>
            <w:tcW w:type="dxa" w:w="5184"/>
            <w:vAlign w:val="top"/>
          </w:tcPr>
          <w:p>
            <w:r>
              <w:rPr>
                <w:sz w:val="15"/>
              </w:rPr>
              <w:t>First valid completion wins; second becomes no-op/audit</w:t>
            </w:r>
          </w:p>
        </w:tc>
      </w:tr>
      <w:tr>
        <w:tc>
          <w:tcPr>
            <w:tcW w:type="dxa" w:w="5184"/>
            <w:vAlign w:val="top"/>
          </w:tcPr>
          <w:p>
            <w:r>
              <w:rPr>
                <w:sz w:val="15"/>
              </w:rPr>
              <w:t>Patient demographic mismatch</w:t>
            </w:r>
          </w:p>
        </w:tc>
        <w:tc>
          <w:tcPr>
            <w:tcW w:type="dxa" w:w="5184"/>
            <w:vAlign w:val="top"/>
          </w:tcPr>
          <w:p>
            <w:r>
              <w:rPr>
                <w:sz w:val="15"/>
              </w:rPr>
              <w:t>Never overwrite silently; create discrepancy task</w:t>
            </w:r>
          </w:p>
        </w:tc>
      </w:tr>
      <w:tr>
        <w:tc>
          <w:tcPr>
            <w:tcW w:type="dxa" w:w="5184"/>
            <w:vAlign w:val="top"/>
          </w:tcPr>
          <w:p>
            <w:r>
              <w:rPr>
                <w:sz w:val="15"/>
              </w:rPr>
              <w:t>Facility capability stale</w:t>
            </w:r>
          </w:p>
        </w:tc>
        <w:tc>
          <w:tcPr>
            <w:tcW w:type="dxa" w:w="5184"/>
            <w:vAlign w:val="top"/>
          </w:tcPr>
          <w:p>
            <w:r>
              <w:rPr>
                <w:sz w:val="15"/>
              </w:rPr>
              <w:t>Show stale badge; lower recommendation confidence</w:t>
            </w:r>
          </w:p>
        </w:tc>
      </w:tr>
      <w:tr>
        <w:tc>
          <w:tcPr>
            <w:tcW w:type="dxa" w:w="5184"/>
            <w:vAlign w:val="top"/>
          </w:tcPr>
          <w:p>
            <w:r>
              <w:rPr>
                <w:sz w:val="15"/>
              </w:rPr>
              <w:t>Out-of-order state change</w:t>
            </w:r>
          </w:p>
        </w:tc>
        <w:tc>
          <w:tcPr>
            <w:tcW w:type="dxa" w:w="5184"/>
            <w:vAlign w:val="top"/>
          </w:tcPr>
          <w:p>
            <w:r>
              <w:rPr>
                <w:sz w:val="15"/>
              </w:rPr>
              <w:t>Reject impossible transition, retain event and request reconciliation</w:t>
            </w:r>
          </w:p>
        </w:tc>
      </w:tr>
      <w:tr>
        <w:tc>
          <w:tcPr>
            <w:tcW w:type="dxa" w:w="5184"/>
            <w:vAlign w:val="top"/>
          </w:tcPr>
          <w:p>
            <w:r>
              <w:rPr>
                <w:sz w:val="15"/>
              </w:rPr>
              <w:t>External source says cancelled after local pending</w:t>
            </w:r>
          </w:p>
        </w:tc>
        <w:tc>
          <w:tcPr>
            <w:tcW w:type="dxa" w:w="5184"/>
            <w:vAlign w:val="top"/>
          </w:tcPr>
          <w:p>
            <w:r>
              <w:rPr>
                <w:sz w:val="15"/>
              </w:rPr>
              <w:t>External authoritative transaction wins for that external object</w:t>
            </w:r>
          </w:p>
        </w:tc>
      </w:tr>
    </w:tbl>
    <w:p/>
    <w:p>
      <w:pPr>
        <w:pStyle w:val="Heading1"/>
      </w:pPr>
      <w:r>
        <w:t>14. Security architecture</w:t>
      </w:r>
    </w:p>
    <w:p>
      <w:pPr>
        <w:pStyle w:val="ListBullet"/>
      </w:pPr>
      <w:r>
        <w:t>API gateway with TLS, authentication, authorization and rate limiting.</w:t>
      </w:r>
    </w:p>
    <w:p>
      <w:pPr>
        <w:pStyle w:val="ListBullet"/>
      </w:pPr>
      <w:r>
        <w:t>OIDC/OAuth 2.0 compatible identity boundary for application sessions; use the government-required mechanism for external integrations.</w:t>
      </w:r>
    </w:p>
    <w:p>
      <w:pPr>
        <w:pStyle w:val="ListBullet"/>
      </w:pPr>
      <w:r>
        <w:t>RBAC combined with facility/role scope; a district administrator should not automatically see patient-level clinical content.</w:t>
      </w:r>
    </w:p>
    <w:p>
      <w:pPr>
        <w:pStyle w:val="ListBullet"/>
      </w:pPr>
      <w:r>
        <w:t>Encryption in transit and at rest; managed keys or HSM/KMS-backed key hierarchy for production.</w:t>
      </w:r>
    </w:p>
    <w:p>
      <w:pPr>
        <w:pStyle w:val="ListBullet"/>
      </w:pPr>
      <w:r>
        <w:t>Secrets in a secret manager, never in source code or mobile bundles.</w:t>
      </w:r>
    </w:p>
    <w:p>
      <w:pPr>
        <w:pStyle w:val="ListBullet"/>
      </w:pPr>
      <w:r>
        <w:t>Immutable audit events for patient-data access, consent actions, clinical workflow changes and privileged operations.</w:t>
      </w:r>
    </w:p>
    <w:p>
      <w:pPr>
        <w:pStyle w:val="ListBullet"/>
      </w:pPr>
      <w:r>
        <w:t>Network segmentation between public edge, application services, integration connectors and databases.</w:t>
      </w:r>
    </w:p>
    <w:p>
      <w:pPr>
        <w:pStyle w:val="ListBullet"/>
      </w:pPr>
      <w:r>
        <w:t>VAPT/SAST/DAST/dependency/container scanning in CI/CD.</w:t>
      </w:r>
    </w:p>
    <w:p>
      <w:pPr>
        <w:pStyle w:val="ListBullet"/>
      </w:pPr>
      <w:r>
        <w:t>Backup, restore and disaster-recovery drills before pilot go-live.</w:t>
      </w:r>
    </w:p>
    <w:p>
      <w:pPr>
        <w:pStyle w:val="Heading1"/>
      </w:pPr>
      <w:r>
        <w:t>15. AI service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EDEDED"/>
            <w:vAlign w:val="center"/>
          </w:tcPr>
          <w:p>
            <w:r>
              <w:rPr>
                <w:sz w:val="15"/>
              </w:rPr>
              <w:t>AI capability</w:t>
            </w:r>
          </w:p>
        </w:tc>
        <w:tc>
          <w:tcPr>
            <w:tcW w:type="dxa" w:w="2592"/>
            <w:shd w:fill="EDEDED"/>
            <w:vAlign w:val="center"/>
          </w:tcPr>
          <w:p>
            <w:r>
              <w:rPr>
                <w:sz w:val="15"/>
              </w:rPr>
              <w:t>MVP?</w:t>
            </w:r>
          </w:p>
        </w:tc>
        <w:tc>
          <w:tcPr>
            <w:tcW w:type="dxa" w:w="2592"/>
            <w:shd w:fill="EDEDED"/>
            <w:vAlign w:val="center"/>
          </w:tcPr>
          <w:p>
            <w:r>
              <w:rPr>
                <w:sz w:val="15"/>
              </w:rPr>
              <w:t>Output</w:t>
            </w:r>
          </w:p>
        </w:tc>
        <w:tc>
          <w:tcPr>
            <w:tcW w:type="dxa" w:w="2592"/>
            <w:shd w:fill="EDEDED"/>
            <w:vAlign w:val="center"/>
          </w:tcPr>
          <w:p>
            <w:r>
              <w:rPr>
                <w:sz w:val="15"/>
              </w:rPr>
              <w:t>Human control</w:t>
            </w:r>
          </w:p>
        </w:tc>
      </w:tr>
      <w:tr>
        <w:tc>
          <w:tcPr>
            <w:tcW w:type="dxa" w:w="2592"/>
            <w:vAlign w:val="top"/>
          </w:tcPr>
          <w:p>
            <w:r>
              <w:rPr>
                <w:sz w:val="15"/>
              </w:rPr>
              <w:t>Referral leakage risk</w:t>
            </w:r>
          </w:p>
        </w:tc>
        <w:tc>
          <w:tcPr>
            <w:tcW w:type="dxa" w:w="2592"/>
            <w:vAlign w:val="top"/>
          </w:tcPr>
          <w:p>
            <w:r>
              <w:rPr>
                <w:sz w:val="15"/>
              </w:rPr>
              <w:t>Pilot later</w:t>
            </w:r>
          </w:p>
        </w:tc>
        <w:tc>
          <w:tcPr>
            <w:tcW w:type="dxa" w:w="2592"/>
            <w:vAlign w:val="top"/>
          </w:tcPr>
          <w:p>
            <w:r>
              <w:rPr>
                <w:sz w:val="15"/>
              </w:rPr>
              <w:t>Risk score + top reasons</w:t>
            </w:r>
          </w:p>
        </w:tc>
        <w:tc>
          <w:tcPr>
            <w:tcW w:type="dxa" w:w="2592"/>
            <w:vAlign w:val="top"/>
          </w:tcPr>
          <w:p>
            <w:r>
              <w:rPr>
                <w:sz w:val="15"/>
              </w:rPr>
              <w:t>Operations/clinician reviews</w:t>
            </w:r>
          </w:p>
        </w:tc>
      </w:tr>
      <w:tr>
        <w:tc>
          <w:tcPr>
            <w:tcW w:type="dxa" w:w="2592"/>
            <w:vAlign w:val="top"/>
          </w:tcPr>
          <w:p>
            <w:r>
              <w:rPr>
                <w:sz w:val="15"/>
              </w:rPr>
              <w:t>Task prioritization</w:t>
            </w:r>
          </w:p>
        </w:tc>
        <w:tc>
          <w:tcPr>
            <w:tcW w:type="dxa" w:w="2592"/>
            <w:vAlign w:val="top"/>
          </w:tcPr>
          <w:p>
            <w:r>
              <w:rPr>
                <w:sz w:val="15"/>
              </w:rPr>
              <w:t>Yes, rules-first</w:t>
            </w:r>
          </w:p>
        </w:tc>
        <w:tc>
          <w:tcPr>
            <w:tcW w:type="dxa" w:w="2592"/>
            <w:vAlign w:val="top"/>
          </w:tcPr>
          <w:p>
            <w:r>
              <w:rPr>
                <w:sz w:val="15"/>
              </w:rPr>
              <w:t>Priority suggestion</w:t>
            </w:r>
          </w:p>
        </w:tc>
        <w:tc>
          <w:tcPr>
            <w:tcW w:type="dxa" w:w="2592"/>
            <w:vAlign w:val="top"/>
          </w:tcPr>
          <w:p>
            <w:r>
              <w:rPr>
                <w:sz w:val="15"/>
              </w:rPr>
              <w:t>Worker can override</w:t>
            </w:r>
          </w:p>
        </w:tc>
      </w:tr>
      <w:tr>
        <w:tc>
          <w:tcPr>
            <w:tcW w:type="dxa" w:w="2592"/>
            <w:vAlign w:val="top"/>
          </w:tcPr>
          <w:p>
            <w:r>
              <w:rPr>
                <w:sz w:val="15"/>
              </w:rPr>
              <w:t>Facility ranking</w:t>
            </w:r>
          </w:p>
        </w:tc>
        <w:tc>
          <w:tcPr>
            <w:tcW w:type="dxa" w:w="2592"/>
            <w:vAlign w:val="top"/>
          </w:tcPr>
          <w:p>
            <w:r>
              <w:rPr>
                <w:sz w:val="15"/>
              </w:rPr>
              <w:t>Yes, rules-first</w:t>
            </w:r>
          </w:p>
        </w:tc>
        <w:tc>
          <w:tcPr>
            <w:tcW w:type="dxa" w:w="2592"/>
            <w:vAlign w:val="top"/>
          </w:tcPr>
          <w:p>
            <w:r>
              <w:rPr>
                <w:sz w:val="15"/>
              </w:rPr>
              <w:t>Rank + reasons</w:t>
            </w:r>
          </w:p>
        </w:tc>
        <w:tc>
          <w:tcPr>
            <w:tcW w:type="dxa" w:w="2592"/>
            <w:vAlign w:val="top"/>
          </w:tcPr>
          <w:p>
            <w:r>
              <w:rPr>
                <w:sz w:val="15"/>
              </w:rPr>
              <w:t>Clinician/coordinator confirms</w:t>
            </w:r>
          </w:p>
        </w:tc>
      </w:tr>
      <w:tr>
        <w:tc>
          <w:tcPr>
            <w:tcW w:type="dxa" w:w="2592"/>
            <w:vAlign w:val="top"/>
          </w:tcPr>
          <w:p>
            <w:r>
              <w:rPr>
                <w:sz w:val="15"/>
              </w:rPr>
              <w:t>Translation/voice assistance</w:t>
            </w:r>
          </w:p>
        </w:tc>
        <w:tc>
          <w:tcPr>
            <w:tcW w:type="dxa" w:w="2592"/>
            <w:vAlign w:val="top"/>
          </w:tcPr>
          <w:p>
            <w:r>
              <w:rPr>
                <w:sz w:val="15"/>
              </w:rPr>
              <w:t>Yes</w:t>
            </w:r>
          </w:p>
        </w:tc>
        <w:tc>
          <w:tcPr>
            <w:tcW w:type="dxa" w:w="2592"/>
            <w:vAlign w:val="top"/>
          </w:tcPr>
          <w:p>
            <w:r>
              <w:rPr>
                <w:sz w:val="15"/>
              </w:rPr>
              <w:t>Language conversion/voice UX</w:t>
            </w:r>
          </w:p>
        </w:tc>
        <w:tc>
          <w:tcPr>
            <w:tcW w:type="dxa" w:w="2592"/>
            <w:vAlign w:val="top"/>
          </w:tcPr>
          <w:p>
            <w:r>
              <w:rPr>
                <w:sz w:val="15"/>
              </w:rPr>
              <w:t>User confirms critical content</w:t>
            </w:r>
          </w:p>
        </w:tc>
      </w:tr>
      <w:tr>
        <w:tc>
          <w:tcPr>
            <w:tcW w:type="dxa" w:w="2592"/>
            <w:vAlign w:val="top"/>
          </w:tcPr>
          <w:p>
            <w:r>
              <w:rPr>
                <w:sz w:val="15"/>
              </w:rPr>
              <w:t>Demand forecasting</w:t>
            </w:r>
          </w:p>
        </w:tc>
        <w:tc>
          <w:tcPr>
            <w:tcW w:type="dxa" w:w="2592"/>
            <w:vAlign w:val="top"/>
          </w:tcPr>
          <w:p>
            <w:r>
              <w:rPr>
                <w:sz w:val="15"/>
              </w:rPr>
              <w:t>Later</w:t>
            </w:r>
          </w:p>
        </w:tc>
        <w:tc>
          <w:tcPr>
            <w:tcW w:type="dxa" w:w="2592"/>
            <w:vAlign w:val="top"/>
          </w:tcPr>
          <w:p>
            <w:r>
              <w:rPr>
                <w:sz w:val="15"/>
              </w:rPr>
              <w:t>Forecast + interval</w:t>
            </w:r>
          </w:p>
        </w:tc>
        <w:tc>
          <w:tcPr>
            <w:tcW w:type="dxa" w:w="2592"/>
            <w:vAlign w:val="top"/>
          </w:tcPr>
          <w:p>
            <w:r>
              <w:rPr>
                <w:sz w:val="15"/>
              </w:rPr>
              <w:t>Manager interprets</w:t>
            </w:r>
          </w:p>
        </w:tc>
      </w:tr>
      <w:tr>
        <w:tc>
          <w:tcPr>
            <w:tcW w:type="dxa" w:w="2592"/>
            <w:vAlign w:val="top"/>
          </w:tcPr>
          <w:p>
            <w:r>
              <w:rPr>
                <w:sz w:val="15"/>
              </w:rPr>
              <w:t>Autonomous diagnosis</w:t>
            </w:r>
          </w:p>
        </w:tc>
        <w:tc>
          <w:tcPr>
            <w:tcW w:type="dxa" w:w="2592"/>
            <w:vAlign w:val="top"/>
          </w:tcPr>
          <w:p>
            <w:r>
              <w:rPr>
                <w:sz w:val="15"/>
              </w:rPr>
              <w:t>No</w:t>
            </w:r>
          </w:p>
        </w:tc>
        <w:tc>
          <w:tcPr>
            <w:tcW w:type="dxa" w:w="2592"/>
            <w:vAlign w:val="top"/>
          </w:tcPr>
          <w:p>
            <w:r>
              <w:rPr>
                <w:sz w:val="15"/>
              </w:rPr>
              <w:t>N/A</w:t>
            </w:r>
          </w:p>
        </w:tc>
        <w:tc>
          <w:tcPr>
            <w:tcW w:type="dxa" w:w="2592"/>
            <w:vAlign w:val="top"/>
          </w:tcPr>
          <w:p>
            <w:r>
              <w:rPr>
                <w:sz w:val="15"/>
              </w:rPr>
              <w:t>Not part of MVP</w:t>
            </w:r>
          </w:p>
        </w:tc>
      </w:tr>
      <w:tr>
        <w:tc>
          <w:tcPr>
            <w:tcW w:type="dxa" w:w="2592"/>
            <w:vAlign w:val="top"/>
          </w:tcPr>
          <w:p>
            <w:r>
              <w:rPr>
                <w:sz w:val="15"/>
              </w:rPr>
              <w:t>Autonomous treatment/prescription</w:t>
            </w:r>
          </w:p>
        </w:tc>
        <w:tc>
          <w:tcPr>
            <w:tcW w:type="dxa" w:w="2592"/>
            <w:vAlign w:val="top"/>
          </w:tcPr>
          <w:p>
            <w:r>
              <w:rPr>
                <w:sz w:val="15"/>
              </w:rPr>
              <w:t>No</w:t>
            </w:r>
          </w:p>
        </w:tc>
        <w:tc>
          <w:tcPr>
            <w:tcW w:type="dxa" w:w="2592"/>
            <w:vAlign w:val="top"/>
          </w:tcPr>
          <w:p>
            <w:r>
              <w:rPr>
                <w:sz w:val="15"/>
              </w:rPr>
              <w:t>N/A</w:t>
            </w:r>
          </w:p>
        </w:tc>
        <w:tc>
          <w:tcPr>
            <w:tcW w:type="dxa" w:w="2592"/>
            <w:vAlign w:val="top"/>
          </w:tcPr>
          <w:p>
            <w:r>
              <w:rPr>
                <w:sz w:val="15"/>
              </w:rPr>
              <w:t>Not part of MVP</w:t>
            </w:r>
          </w:p>
        </w:tc>
      </w:tr>
    </w:tbl>
    <w:p/>
    <w:p>
      <w:pPr>
        <w:pStyle w:val="Heading1"/>
      </w:pPr>
      <w:r>
        <w:t>16. Frontend applications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DEDED"/>
            <w:vAlign w:val="center"/>
          </w:tcPr>
          <w:p>
            <w:r>
              <w:rPr>
                <w:sz w:val="15"/>
              </w:rPr>
              <w:t>Role</w:t>
            </w:r>
          </w:p>
        </w:tc>
        <w:tc>
          <w:tcPr>
            <w:tcW w:type="dxa" w:w="3456"/>
            <w:shd w:fill="EDEDED"/>
            <w:vAlign w:val="center"/>
          </w:tcPr>
          <w:p>
            <w:r>
              <w:rPr>
                <w:sz w:val="15"/>
              </w:rPr>
              <w:t>Primary interface</w:t>
            </w:r>
          </w:p>
        </w:tc>
        <w:tc>
          <w:tcPr>
            <w:tcW w:type="dxa" w:w="3456"/>
            <w:shd w:fill="EDEDED"/>
            <w:vAlign w:val="center"/>
          </w:tcPr>
          <w:p>
            <w:r>
              <w:rPr>
                <w:sz w:val="15"/>
              </w:rPr>
              <w:t>Top actions</w:t>
            </w:r>
          </w:p>
        </w:tc>
      </w:tr>
      <w:tr>
        <w:tc>
          <w:tcPr>
            <w:tcW w:type="dxa" w:w="3456"/>
            <w:vAlign w:val="top"/>
          </w:tcPr>
          <w:p>
            <w:r>
              <w:rPr>
                <w:sz w:val="15"/>
              </w:rPr>
              <w:t>Patient/Caregiver</w:t>
            </w:r>
          </w:p>
        </w:tc>
        <w:tc>
          <w:tcPr>
            <w:tcW w:type="dxa" w:w="3456"/>
            <w:vAlign w:val="top"/>
          </w:tcPr>
          <w:p>
            <w:r>
              <w:rPr>
                <w:sz w:val="15"/>
              </w:rPr>
              <w:t>Mobile/web + assisted mode</w:t>
            </w:r>
          </w:p>
        </w:tc>
        <w:tc>
          <w:tcPr>
            <w:tcW w:type="dxa" w:w="3456"/>
            <w:vAlign w:val="top"/>
          </w:tcPr>
          <w:p>
            <w:r>
              <w:rPr>
                <w:sz w:val="15"/>
              </w:rPr>
              <w:t>View care status, appointments, instructions, follow-up</w:t>
            </w:r>
          </w:p>
        </w:tc>
      </w:tr>
      <w:tr>
        <w:tc>
          <w:tcPr>
            <w:tcW w:type="dxa" w:w="3456"/>
            <w:vAlign w:val="top"/>
          </w:tcPr>
          <w:p>
            <w:r>
              <w:rPr>
                <w:sz w:val="15"/>
              </w:rPr>
              <w:t>ASHA/ANM</w:t>
            </w:r>
          </w:p>
        </w:tc>
        <w:tc>
          <w:tcPr>
            <w:tcW w:type="dxa" w:w="3456"/>
            <w:vAlign w:val="top"/>
          </w:tcPr>
          <w:p>
            <w:r>
              <w:rPr>
                <w:sz w:val="15"/>
              </w:rPr>
              <w:t>Offline mobile</w:t>
            </w:r>
          </w:p>
        </w:tc>
        <w:tc>
          <w:tcPr>
            <w:tcW w:type="dxa" w:w="3456"/>
            <w:vAlign w:val="top"/>
          </w:tcPr>
          <w:p>
            <w:r>
              <w:rPr>
                <w:sz w:val="15"/>
              </w:rPr>
              <w:t>Prioritized tasks, outreach, basic data capture, referral status</w:t>
            </w:r>
          </w:p>
        </w:tc>
      </w:tr>
      <w:tr>
        <w:tc>
          <w:tcPr>
            <w:tcW w:type="dxa" w:w="3456"/>
            <w:vAlign w:val="top"/>
          </w:tcPr>
          <w:p>
            <w:r>
              <w:rPr>
                <w:sz w:val="15"/>
              </w:rPr>
              <w:t>CHO/Nurse</w:t>
            </w:r>
          </w:p>
        </w:tc>
        <w:tc>
          <w:tcPr>
            <w:tcW w:type="dxa" w:w="3456"/>
            <w:vAlign w:val="top"/>
          </w:tcPr>
          <w:p>
            <w:r>
              <w:rPr>
                <w:sz w:val="15"/>
              </w:rPr>
              <w:t>Web/tablet</w:t>
            </w:r>
          </w:p>
        </w:tc>
        <w:tc>
          <w:tcPr>
            <w:tcW w:type="dxa" w:w="3456"/>
            <w:vAlign w:val="top"/>
          </w:tcPr>
          <w:p>
            <w:r>
              <w:rPr>
                <w:sz w:val="15"/>
              </w:rPr>
              <w:t>Triage, task management, teleconsult coordination, referrals</w:t>
            </w:r>
          </w:p>
        </w:tc>
      </w:tr>
      <w:tr>
        <w:tc>
          <w:tcPr>
            <w:tcW w:type="dxa" w:w="3456"/>
            <w:vAlign w:val="top"/>
          </w:tcPr>
          <w:p>
            <w:r>
              <w:rPr>
                <w:sz w:val="15"/>
              </w:rPr>
              <w:t>Medical Officer</w:t>
            </w:r>
          </w:p>
        </w:tc>
        <w:tc>
          <w:tcPr>
            <w:tcW w:type="dxa" w:w="3456"/>
            <w:vAlign w:val="top"/>
          </w:tcPr>
          <w:p>
            <w:r>
              <w:rPr>
                <w:sz w:val="15"/>
              </w:rPr>
              <w:t>Web</w:t>
            </w:r>
          </w:p>
        </w:tc>
        <w:tc>
          <w:tcPr>
            <w:tcW w:type="dxa" w:w="3456"/>
            <w:vAlign w:val="top"/>
          </w:tcPr>
          <w:p>
            <w:r>
              <w:rPr>
                <w:sz w:val="15"/>
              </w:rPr>
              <w:t>Clinical review, referral decision, facility recommendation, override</w:t>
            </w:r>
          </w:p>
        </w:tc>
      </w:tr>
      <w:tr>
        <w:tc>
          <w:tcPr>
            <w:tcW w:type="dxa" w:w="3456"/>
            <w:vAlign w:val="top"/>
          </w:tcPr>
          <w:p>
            <w:r>
              <w:rPr>
                <w:sz w:val="15"/>
              </w:rPr>
              <w:t>Specialist</w:t>
            </w:r>
          </w:p>
        </w:tc>
        <w:tc>
          <w:tcPr>
            <w:tcW w:type="dxa" w:w="3456"/>
            <w:vAlign w:val="top"/>
          </w:tcPr>
          <w:p>
            <w:r>
              <w:rPr>
                <w:sz w:val="15"/>
              </w:rPr>
              <w:t>Web/eSanjeevani integration</w:t>
            </w:r>
          </w:p>
        </w:tc>
        <w:tc>
          <w:tcPr>
            <w:tcW w:type="dxa" w:w="3456"/>
            <w:vAlign w:val="top"/>
          </w:tcPr>
          <w:p>
            <w:r>
              <w:rPr>
                <w:sz w:val="15"/>
              </w:rPr>
              <w:t>Consultation outcome and recommendations</w:t>
            </w:r>
          </w:p>
        </w:tc>
      </w:tr>
      <w:tr>
        <w:tc>
          <w:tcPr>
            <w:tcW w:type="dxa" w:w="3456"/>
            <w:vAlign w:val="top"/>
          </w:tcPr>
          <w:p>
            <w:r>
              <w:rPr>
                <w:sz w:val="15"/>
              </w:rPr>
              <w:t>Referral desk</w:t>
            </w:r>
          </w:p>
        </w:tc>
        <w:tc>
          <w:tcPr>
            <w:tcW w:type="dxa" w:w="3456"/>
            <w:vAlign w:val="top"/>
          </w:tcPr>
          <w:p>
            <w:r>
              <w:rPr>
                <w:sz w:val="15"/>
              </w:rPr>
              <w:t>Web/tablet</w:t>
            </w:r>
          </w:p>
        </w:tc>
        <w:tc>
          <w:tcPr>
            <w:tcW w:type="dxa" w:w="3456"/>
            <w:vAlign w:val="top"/>
          </w:tcPr>
          <w:p>
            <w:r>
              <w:rPr>
                <w:sz w:val="15"/>
              </w:rPr>
              <w:t>Accept referral, appointment, arrival, handoff</w:t>
            </w:r>
          </w:p>
        </w:tc>
      </w:tr>
      <w:tr>
        <w:tc>
          <w:tcPr>
            <w:tcW w:type="dxa" w:w="3456"/>
            <w:vAlign w:val="top"/>
          </w:tcPr>
          <w:p>
            <w:r>
              <w:rPr>
                <w:sz w:val="15"/>
              </w:rPr>
              <w:t>Lab</w:t>
            </w:r>
          </w:p>
        </w:tc>
        <w:tc>
          <w:tcPr>
            <w:tcW w:type="dxa" w:w="3456"/>
            <w:vAlign w:val="top"/>
          </w:tcPr>
          <w:p>
            <w:r>
              <w:rPr>
                <w:sz w:val="15"/>
              </w:rPr>
              <w:t>Web/integration</w:t>
            </w:r>
          </w:p>
        </w:tc>
        <w:tc>
          <w:tcPr>
            <w:tcW w:type="dxa" w:w="3456"/>
            <w:vAlign w:val="top"/>
          </w:tcPr>
          <w:p>
            <w:r>
              <w:rPr>
                <w:sz w:val="15"/>
              </w:rPr>
              <w:t>Order/sample/result lifecycle</w:t>
            </w:r>
          </w:p>
        </w:tc>
      </w:tr>
      <w:tr>
        <w:tc>
          <w:tcPr>
            <w:tcW w:type="dxa" w:w="3456"/>
            <w:vAlign w:val="top"/>
          </w:tcPr>
          <w:p>
            <w:r>
              <w:rPr>
                <w:sz w:val="15"/>
              </w:rPr>
              <w:t>Pharmacy</w:t>
            </w:r>
          </w:p>
        </w:tc>
        <w:tc>
          <w:tcPr>
            <w:tcW w:type="dxa" w:w="3456"/>
            <w:vAlign w:val="top"/>
          </w:tcPr>
          <w:p>
            <w:r>
              <w:rPr>
                <w:sz w:val="15"/>
              </w:rPr>
              <w:t>Web/integration</w:t>
            </w:r>
          </w:p>
        </w:tc>
        <w:tc>
          <w:tcPr>
            <w:tcW w:type="dxa" w:w="3456"/>
            <w:vAlign w:val="top"/>
          </w:tcPr>
          <w:p>
            <w:r>
              <w:rPr>
                <w:sz w:val="15"/>
              </w:rPr>
              <w:t>Availability/dispensing status</w:t>
            </w:r>
          </w:p>
        </w:tc>
      </w:tr>
      <w:tr>
        <w:tc>
          <w:tcPr>
            <w:tcW w:type="dxa" w:w="3456"/>
            <w:vAlign w:val="top"/>
          </w:tcPr>
          <w:p>
            <w:r>
              <w:rPr>
                <w:sz w:val="15"/>
              </w:rPr>
              <w:t>Transport</w:t>
            </w:r>
          </w:p>
        </w:tc>
        <w:tc>
          <w:tcPr>
            <w:tcW w:type="dxa" w:w="3456"/>
            <w:vAlign w:val="top"/>
          </w:tcPr>
          <w:p>
            <w:r>
              <w:rPr>
                <w:sz w:val="15"/>
              </w:rPr>
              <w:t>Web/API</w:t>
            </w:r>
          </w:p>
        </w:tc>
        <w:tc>
          <w:tcPr>
            <w:tcW w:type="dxa" w:w="3456"/>
            <w:vAlign w:val="top"/>
          </w:tcPr>
          <w:p>
            <w:r>
              <w:rPr>
                <w:sz w:val="15"/>
              </w:rPr>
              <w:t>Dispatch/status/arrival</w:t>
            </w:r>
          </w:p>
        </w:tc>
      </w:tr>
      <w:tr>
        <w:tc>
          <w:tcPr>
            <w:tcW w:type="dxa" w:w="3456"/>
            <w:vAlign w:val="top"/>
          </w:tcPr>
          <w:p>
            <w:r>
              <w:rPr>
                <w:sz w:val="15"/>
              </w:rPr>
              <w:t>District manager</w:t>
            </w:r>
          </w:p>
        </w:tc>
        <w:tc>
          <w:tcPr>
            <w:tcW w:type="dxa" w:w="3456"/>
            <w:vAlign w:val="top"/>
          </w:tcPr>
          <w:p>
            <w:r>
              <w:rPr>
                <w:sz w:val="15"/>
              </w:rPr>
              <w:t>Web dashboard</w:t>
            </w:r>
          </w:p>
        </w:tc>
        <w:tc>
          <w:tcPr>
            <w:tcW w:type="dxa" w:w="3456"/>
            <w:vAlign w:val="top"/>
          </w:tcPr>
          <w:p>
            <w:r>
              <w:rPr>
                <w:sz w:val="15"/>
              </w:rPr>
              <w:t>Bottlenecks, SLA, leakage, facility performance</w:t>
            </w:r>
          </w:p>
        </w:tc>
      </w:tr>
    </w:tbl>
    <w:p/>
    <w:p>
      <w:pPr>
        <w:pStyle w:val="Heading1"/>
      </w:pPr>
      <w:r>
        <w:t>17. MVP release plan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DEDED"/>
            <w:vAlign w:val="center"/>
          </w:tcPr>
          <w:p>
            <w:r>
              <w:rPr>
                <w:sz w:val="15"/>
              </w:rPr>
              <w:t>Release</w:t>
            </w:r>
          </w:p>
        </w:tc>
        <w:tc>
          <w:tcPr>
            <w:tcW w:type="dxa" w:w="3456"/>
            <w:shd w:fill="EDEDED"/>
            <w:vAlign w:val="center"/>
          </w:tcPr>
          <w:p>
            <w:r>
              <w:rPr>
                <w:sz w:val="15"/>
              </w:rPr>
              <w:t>Scope</w:t>
            </w:r>
          </w:p>
        </w:tc>
        <w:tc>
          <w:tcPr>
            <w:tcW w:type="dxa" w:w="3456"/>
            <w:shd w:fill="EDEDED"/>
            <w:vAlign w:val="center"/>
          </w:tcPr>
          <w:p>
            <w:r>
              <w:rPr>
                <w:sz w:val="15"/>
              </w:rPr>
              <w:t>Exit criterion</w:t>
            </w:r>
          </w:p>
        </w:tc>
      </w:tr>
      <w:tr>
        <w:tc>
          <w:tcPr>
            <w:tcW w:type="dxa" w:w="3456"/>
            <w:vAlign w:val="top"/>
          </w:tcPr>
          <w:p>
            <w:r>
              <w:rPr>
                <w:sz w:val="15"/>
              </w:rPr>
              <w:t>M0 — Foundation</w:t>
            </w:r>
          </w:p>
        </w:tc>
        <w:tc>
          <w:tcPr>
            <w:tcW w:type="dxa" w:w="3456"/>
            <w:vAlign w:val="top"/>
          </w:tcPr>
          <w:p>
            <w:r>
              <w:rPr>
                <w:sz w:val="15"/>
              </w:rPr>
              <w:t>Auth/RBAC, patient references, CareJourney, Tasks, audit, base UI</w:t>
            </w:r>
          </w:p>
        </w:tc>
        <w:tc>
          <w:tcPr>
            <w:tcW w:type="dxa" w:w="3456"/>
            <w:vAlign w:val="top"/>
          </w:tcPr>
          <w:p>
            <w:r>
              <w:rPr>
                <w:sz w:val="15"/>
              </w:rPr>
              <w:t>Create/read/transition journey securely</w:t>
            </w:r>
          </w:p>
        </w:tc>
      </w:tr>
      <w:tr>
        <w:tc>
          <w:tcPr>
            <w:tcW w:type="dxa" w:w="3456"/>
            <w:vAlign w:val="top"/>
          </w:tcPr>
          <w:p>
            <w:r>
              <w:rPr>
                <w:sz w:val="15"/>
              </w:rPr>
              <w:t>M1 — NCD journey</w:t>
            </w:r>
          </w:p>
        </w:tc>
        <w:tc>
          <w:tcPr>
            <w:tcW w:type="dxa" w:w="3456"/>
            <w:vAlign w:val="top"/>
          </w:tcPr>
          <w:p>
            <w:r>
              <w:rPr>
                <w:sz w:val="15"/>
              </w:rPr>
              <w:t>NP-NCD signal ingestion + triage + referral</w:t>
            </w:r>
          </w:p>
        </w:tc>
        <w:tc>
          <w:tcPr>
            <w:tcW w:type="dxa" w:w="3456"/>
            <w:vAlign w:val="top"/>
          </w:tcPr>
          <w:p>
            <w:r>
              <w:rPr>
                <w:sz w:val="15"/>
              </w:rPr>
              <w:t>End-to-end simulated NCD journey passes</w:t>
            </w:r>
          </w:p>
        </w:tc>
      </w:tr>
      <w:tr>
        <w:tc>
          <w:tcPr>
            <w:tcW w:type="dxa" w:w="3456"/>
            <w:vAlign w:val="top"/>
          </w:tcPr>
          <w:p>
            <w:r>
              <w:rPr>
                <w:sz w:val="15"/>
              </w:rPr>
              <w:t>M2 — eSanjeevani</w:t>
            </w:r>
          </w:p>
        </w:tc>
        <w:tc>
          <w:tcPr>
            <w:tcW w:type="dxa" w:w="3456"/>
            <w:vAlign w:val="top"/>
          </w:tcPr>
          <w:p>
            <w:r>
              <w:rPr>
                <w:sz w:val="15"/>
              </w:rPr>
              <w:t>Consultation linkage and outcome ingestion</w:t>
            </w:r>
          </w:p>
        </w:tc>
        <w:tc>
          <w:tcPr>
            <w:tcW w:type="dxa" w:w="3456"/>
            <w:vAlign w:val="top"/>
          </w:tcPr>
          <w:p>
            <w:r>
              <w:rPr>
                <w:sz w:val="15"/>
              </w:rPr>
              <w:t>Consultation outcome advances journey</w:t>
            </w:r>
          </w:p>
        </w:tc>
      </w:tr>
      <w:tr>
        <w:tc>
          <w:tcPr>
            <w:tcW w:type="dxa" w:w="3456"/>
            <w:vAlign w:val="top"/>
          </w:tcPr>
          <w:p>
            <w:r>
              <w:rPr>
                <w:sz w:val="15"/>
              </w:rPr>
              <w:t>M3 — Diagnostics</w:t>
            </w:r>
          </w:p>
        </w:tc>
        <w:tc>
          <w:tcPr>
            <w:tcW w:type="dxa" w:w="3456"/>
            <w:vAlign w:val="top"/>
          </w:tcPr>
          <w:p>
            <w:r>
              <w:rPr>
                <w:sz w:val="15"/>
              </w:rPr>
              <w:t>Order/result lifecycle + SLA</w:t>
            </w:r>
          </w:p>
        </w:tc>
        <w:tc>
          <w:tcPr>
            <w:tcW w:type="dxa" w:w="3456"/>
            <w:vAlign w:val="top"/>
          </w:tcPr>
          <w:p>
            <w:r>
              <w:rPr>
                <w:sz w:val="15"/>
              </w:rPr>
              <w:t>Test result closes diagnostic step</w:t>
            </w:r>
          </w:p>
        </w:tc>
      </w:tr>
      <w:tr>
        <w:tc>
          <w:tcPr>
            <w:tcW w:type="dxa" w:w="3456"/>
            <w:vAlign w:val="top"/>
          </w:tcPr>
          <w:p>
            <w:r>
              <w:rPr>
                <w:sz w:val="15"/>
              </w:rPr>
              <w:t>M4 — Facility/appointment</w:t>
            </w:r>
          </w:p>
        </w:tc>
        <w:tc>
          <w:tcPr>
            <w:tcW w:type="dxa" w:w="3456"/>
            <w:vAlign w:val="top"/>
          </w:tcPr>
          <w:p>
            <w:r>
              <w:rPr>
                <w:sz w:val="15"/>
              </w:rPr>
              <w:t>HFR + UHI/facility adapter</w:t>
            </w:r>
          </w:p>
        </w:tc>
        <w:tc>
          <w:tcPr>
            <w:tcW w:type="dxa" w:w="3456"/>
            <w:vAlign w:val="top"/>
          </w:tcPr>
          <w:p>
            <w:r>
              <w:rPr>
                <w:sz w:val="15"/>
              </w:rPr>
              <w:t>Suitable destination + appointment tracked</w:t>
            </w:r>
          </w:p>
        </w:tc>
      </w:tr>
      <w:tr>
        <w:tc>
          <w:tcPr>
            <w:tcW w:type="dxa" w:w="3456"/>
            <w:vAlign w:val="top"/>
          </w:tcPr>
          <w:p>
            <w:r>
              <w:rPr>
                <w:sz w:val="15"/>
              </w:rPr>
              <w:t>M5 — Transport</w:t>
            </w:r>
          </w:p>
        </w:tc>
        <w:tc>
          <w:tcPr>
            <w:tcW w:type="dxa" w:w="3456"/>
            <w:vAlign w:val="top"/>
          </w:tcPr>
          <w:p>
            <w:r>
              <w:rPr>
                <w:sz w:val="15"/>
              </w:rPr>
              <w:t>State EMS adapter</w:t>
            </w:r>
          </w:p>
        </w:tc>
        <w:tc>
          <w:tcPr>
            <w:tcW w:type="dxa" w:w="3456"/>
            <w:vAlign w:val="top"/>
          </w:tcPr>
          <w:p>
            <w:r>
              <w:rPr>
                <w:sz w:val="15"/>
              </w:rPr>
              <w:t>Transport linked to referral</w:t>
            </w:r>
          </w:p>
        </w:tc>
      </w:tr>
      <w:tr>
        <w:tc>
          <w:tcPr>
            <w:tcW w:type="dxa" w:w="3456"/>
            <w:vAlign w:val="top"/>
          </w:tcPr>
          <w:p>
            <w:r>
              <w:rPr>
                <w:sz w:val="15"/>
              </w:rPr>
              <w:t>M6 — Medicine/follow-up</w:t>
            </w:r>
          </w:p>
        </w:tc>
        <w:tc>
          <w:tcPr>
            <w:tcW w:type="dxa" w:w="3456"/>
            <w:vAlign w:val="top"/>
          </w:tcPr>
          <w:p>
            <w:r>
              <w:rPr>
                <w:sz w:val="15"/>
              </w:rPr>
              <w:t>LMIS/pharmacy + follow-up</w:t>
            </w:r>
          </w:p>
        </w:tc>
        <w:tc>
          <w:tcPr>
            <w:tcW w:type="dxa" w:w="3456"/>
            <w:vAlign w:val="top"/>
          </w:tcPr>
          <w:p>
            <w:r>
              <w:rPr>
                <w:sz w:val="15"/>
              </w:rPr>
              <w:t>Medicine + follow-up closure demonstrated</w:t>
            </w:r>
          </w:p>
        </w:tc>
      </w:tr>
      <w:tr>
        <w:tc>
          <w:tcPr>
            <w:tcW w:type="dxa" w:w="3456"/>
            <w:vAlign w:val="top"/>
          </w:tcPr>
          <w:p>
            <w:r>
              <w:rPr>
                <w:sz w:val="15"/>
              </w:rPr>
              <w:t>M7 — Pilot hardening</w:t>
            </w:r>
          </w:p>
        </w:tc>
        <w:tc>
          <w:tcPr>
            <w:tcW w:type="dxa" w:w="3456"/>
            <w:vAlign w:val="top"/>
          </w:tcPr>
          <w:p>
            <w:r>
              <w:rPr>
                <w:sz w:val="15"/>
              </w:rPr>
              <w:t>Offline, observability, security, DR, VAPT</w:t>
            </w:r>
          </w:p>
        </w:tc>
        <w:tc>
          <w:tcPr>
            <w:tcW w:type="dxa" w:w="3456"/>
            <w:vAlign w:val="top"/>
          </w:tcPr>
          <w:p>
            <w:r>
              <w:rPr>
                <w:sz w:val="15"/>
              </w:rPr>
              <w:t>Operational readiness review passed</w:t>
            </w:r>
          </w:p>
        </w:tc>
      </w:tr>
    </w:tbl>
    <w:p/>
    <w:p>
      <w:pPr>
        <w:pStyle w:val="Heading1"/>
      </w:pPr>
      <w:r>
        <w:t>18. Tamil Nadu pilot configuration</w:t>
      </w:r>
    </w:p>
    <w:p>
      <w:r>
        <w:t>Pilot the common core with a Tamil Nadu state adapter. The first pathway can use NP-NCD as the clinical programme entry point, the state/facility HIS as encounter evidence, eSanjeevani for specialist access, state diagnostics, the state medicine workflow, and 108 for transport where applicable. PICME/MTM integrations can be added after the NCD journey is stable.</w:t>
      </w:r>
    </w:p>
    <w:p>
      <w:r>
        <w:t>Configuration principle: national logic is shared; TN-specific endpoints, identifiers, facility mappings and workflows stay inside the TN adapter.</w:t>
      </w:r>
    </w:p>
    <w:p>
      <w:pPr>
        <w:pStyle w:val="Heading1"/>
      </w:pPr>
      <w:r>
        <w:t>19. Maharashtra portability configuration</w:t>
      </w:r>
    </w:p>
    <w:p>
      <w:r>
        <w:t>Reuse the same core for Maharashtra, while adding stronger geography-aware routing, MMU/service-area representation, MEMS 108 integration, AAM telemedicine pathways and state-specific hospital/referral interfaces. Maharashtra's policy direction toward interoperable EMR and seamless inter-hospital journeys makes the adapter boundary especially important.</w:t>
      </w:r>
    </w:p>
    <w:p>
      <w:pPr>
        <w:pStyle w:val="Heading1"/>
      </w:pPr>
      <w:r>
        <w:t>20. CI/CD pipeline</w:t>
      </w:r>
    </w:p>
    <w:p>
      <w:r>
        <w:t>Commit → Unit tests → Static analysis → Dependency scan → Build → Container scan → Contract tests → FHIR validation → Integration tests → Deploy to Dev → Synthetic journey tests → Staging → Security/VAPT gate → Production approval → Progressive release</w:t>
      </w:r>
    </w:p>
    <w:p>
      <w:pPr>
        <w:pStyle w:val="ListBullet"/>
      </w:pPr>
      <w:r>
        <w:t>Maintain versioned API contracts and consumer-driven contract tests for every adapter.</w:t>
      </w:r>
    </w:p>
    <w:p>
      <w:pPr>
        <w:pStyle w:val="ListBullet"/>
      </w:pPr>
      <w:r>
        <w:t>Run FHIR validation in CI against the pinned ABDM IG package.</w:t>
      </w:r>
    </w:p>
    <w:p>
      <w:pPr>
        <w:pStyle w:val="ListBullet"/>
      </w:pPr>
      <w:r>
        <w:t>Use feature flags for external integrations and AI capabilities.</w:t>
      </w:r>
    </w:p>
    <w:p>
      <w:pPr>
        <w:pStyle w:val="ListBullet"/>
      </w:pPr>
      <w:r>
        <w:t>Keep database migrations backward-compatible across rolling deployments.</w:t>
      </w:r>
    </w:p>
    <w:p>
      <w:pPr>
        <w:pStyle w:val="ListBullet"/>
      </w:pPr>
      <w:r>
        <w:t>Use blue/green or canary release for production when scale warrants it.</w:t>
      </w:r>
    </w:p>
    <w:p>
      <w:pPr>
        <w:pStyle w:val="Heading1"/>
      </w:pPr>
      <w:r>
        <w:t>21. Observability and SRE metrics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DEDED"/>
            <w:vAlign w:val="center"/>
          </w:tcPr>
          <w:p>
            <w:r>
              <w:rPr>
                <w:sz w:val="15"/>
              </w:rPr>
              <w:t>Metric</w:t>
            </w:r>
          </w:p>
        </w:tc>
        <w:tc>
          <w:tcPr>
            <w:tcW w:type="dxa" w:w="5184"/>
            <w:shd w:fill="EDEDED"/>
            <w:vAlign w:val="center"/>
          </w:tcPr>
          <w:p>
            <w:r>
              <w:rPr>
                <w:sz w:val="15"/>
              </w:rPr>
              <w:t>Meaning</w:t>
            </w:r>
          </w:p>
        </w:tc>
      </w:tr>
      <w:tr>
        <w:tc>
          <w:tcPr>
            <w:tcW w:type="dxa" w:w="5184"/>
            <w:vAlign w:val="top"/>
          </w:tcPr>
          <w:p>
            <w:r>
              <w:rPr>
                <w:sz w:val="15"/>
              </w:rPr>
              <w:t>Journey transition latency</w:t>
            </w:r>
          </w:p>
        </w:tc>
        <w:tc>
          <w:tcPr>
            <w:tcW w:type="dxa" w:w="5184"/>
            <w:vAlign w:val="top"/>
          </w:tcPr>
          <w:p>
            <w:r>
              <w:rPr>
                <w:sz w:val="15"/>
              </w:rPr>
              <w:t>Time between care states</w:t>
            </w:r>
          </w:p>
        </w:tc>
      </w:tr>
      <w:tr>
        <w:tc>
          <w:tcPr>
            <w:tcW w:type="dxa" w:w="5184"/>
            <w:vAlign w:val="top"/>
          </w:tcPr>
          <w:p>
            <w:r>
              <w:rPr>
                <w:sz w:val="15"/>
              </w:rPr>
              <w:t>Referral closure rate</w:t>
            </w:r>
          </w:p>
        </w:tc>
        <w:tc>
          <w:tcPr>
            <w:tcW w:type="dxa" w:w="5184"/>
            <w:vAlign w:val="top"/>
          </w:tcPr>
          <w:p>
            <w:r>
              <w:rPr>
                <w:sz w:val="15"/>
              </w:rPr>
              <w:t>Completed / initiated referrals</w:t>
            </w:r>
          </w:p>
        </w:tc>
      </w:tr>
      <w:tr>
        <w:tc>
          <w:tcPr>
            <w:tcW w:type="dxa" w:w="5184"/>
            <w:vAlign w:val="top"/>
          </w:tcPr>
          <w:p>
            <w:r>
              <w:rPr>
                <w:sz w:val="15"/>
              </w:rPr>
              <w:t>Integration success rate</w:t>
            </w:r>
          </w:p>
        </w:tc>
        <w:tc>
          <w:tcPr>
            <w:tcW w:type="dxa" w:w="5184"/>
            <w:vAlign w:val="top"/>
          </w:tcPr>
          <w:p>
            <w:r>
              <w:rPr>
                <w:sz w:val="15"/>
              </w:rPr>
              <w:t>Successful external calls / total</w:t>
            </w:r>
          </w:p>
        </w:tc>
      </w:tr>
      <w:tr>
        <w:tc>
          <w:tcPr>
            <w:tcW w:type="dxa" w:w="5184"/>
            <w:vAlign w:val="top"/>
          </w:tcPr>
          <w:p>
            <w:r>
              <w:rPr>
                <w:sz w:val="15"/>
              </w:rPr>
              <w:t>Callback lag</w:t>
            </w:r>
          </w:p>
        </w:tc>
        <w:tc>
          <w:tcPr>
            <w:tcW w:type="dxa" w:w="5184"/>
            <w:vAlign w:val="top"/>
          </w:tcPr>
          <w:p>
            <w:r>
              <w:rPr>
                <w:sz w:val="15"/>
              </w:rPr>
              <w:t>External event timestamp to platform processing</w:t>
            </w:r>
          </w:p>
        </w:tc>
      </w:tr>
      <w:tr>
        <w:tc>
          <w:tcPr>
            <w:tcW w:type="dxa" w:w="5184"/>
            <w:vAlign w:val="top"/>
          </w:tcPr>
          <w:p>
            <w:r>
              <w:rPr>
                <w:sz w:val="15"/>
              </w:rPr>
              <w:t>Sync success rate</w:t>
            </w:r>
          </w:p>
        </w:tc>
        <w:tc>
          <w:tcPr>
            <w:tcW w:type="dxa" w:w="5184"/>
            <w:vAlign w:val="top"/>
          </w:tcPr>
          <w:p>
            <w:r>
              <w:rPr>
                <w:sz w:val="15"/>
              </w:rPr>
              <w:t>Offline events synchronized without reconciliation</w:t>
            </w:r>
          </w:p>
        </w:tc>
      </w:tr>
      <w:tr>
        <w:tc>
          <w:tcPr>
            <w:tcW w:type="dxa" w:w="5184"/>
            <w:vAlign w:val="top"/>
          </w:tcPr>
          <w:p>
            <w:r>
              <w:rPr>
                <w:sz w:val="15"/>
              </w:rPr>
              <w:t>Stale capability rate</w:t>
            </w:r>
          </w:p>
        </w:tc>
        <w:tc>
          <w:tcPr>
            <w:tcW w:type="dxa" w:w="5184"/>
            <w:vAlign w:val="top"/>
          </w:tcPr>
          <w:p>
            <w:r>
              <w:rPr>
                <w:sz w:val="15"/>
              </w:rPr>
              <w:t>Capabilities older than policy threshold</w:t>
            </w:r>
          </w:p>
        </w:tc>
      </w:tr>
      <w:tr>
        <w:tc>
          <w:tcPr>
            <w:tcW w:type="dxa" w:w="5184"/>
            <w:vAlign w:val="top"/>
          </w:tcPr>
          <w:p>
            <w:r>
              <w:rPr>
                <w:sz w:val="15"/>
              </w:rPr>
              <w:t>Task SLA breach rate</w:t>
            </w:r>
          </w:p>
        </w:tc>
        <w:tc>
          <w:tcPr>
            <w:tcW w:type="dxa" w:w="5184"/>
            <w:vAlign w:val="top"/>
          </w:tcPr>
          <w:p>
            <w:r>
              <w:rPr>
                <w:sz w:val="15"/>
              </w:rPr>
              <w:t>Tasks overdue / tasks due</w:t>
            </w:r>
          </w:p>
        </w:tc>
      </w:tr>
      <w:tr>
        <w:tc>
          <w:tcPr>
            <w:tcW w:type="dxa" w:w="5184"/>
            <w:vAlign w:val="top"/>
          </w:tcPr>
          <w:p>
            <w:r>
              <w:rPr>
                <w:sz w:val="15"/>
              </w:rPr>
              <w:t>API p95 latency</w:t>
            </w:r>
          </w:p>
        </w:tc>
        <w:tc>
          <w:tcPr>
            <w:tcW w:type="dxa" w:w="5184"/>
            <w:vAlign w:val="top"/>
          </w:tcPr>
          <w:p>
            <w:r>
              <w:rPr>
                <w:sz w:val="15"/>
              </w:rPr>
              <w:t>User/API experience</w:t>
            </w:r>
          </w:p>
        </w:tc>
      </w:tr>
      <w:tr>
        <w:tc>
          <w:tcPr>
            <w:tcW w:type="dxa" w:w="5184"/>
            <w:vAlign w:val="top"/>
          </w:tcPr>
          <w:p>
            <w:r>
              <w:rPr>
                <w:sz w:val="15"/>
              </w:rPr>
              <w:t>Error-budget burn</w:t>
            </w:r>
          </w:p>
        </w:tc>
        <w:tc>
          <w:tcPr>
            <w:tcW w:type="dxa" w:w="5184"/>
            <w:vAlign w:val="top"/>
          </w:tcPr>
          <w:p>
            <w:r>
              <w:rPr>
                <w:sz w:val="15"/>
              </w:rPr>
              <w:t>Reliability signal for release decisions</w:t>
            </w:r>
          </w:p>
        </w:tc>
      </w:tr>
      <w:tr>
        <w:tc>
          <w:tcPr>
            <w:tcW w:type="dxa" w:w="5184"/>
            <w:vAlign w:val="top"/>
          </w:tcPr>
          <w:p>
            <w:r>
              <w:rPr>
                <w:sz w:val="15"/>
              </w:rPr>
              <w:t>Audit coverage</w:t>
            </w:r>
          </w:p>
        </w:tc>
        <w:tc>
          <w:tcPr>
            <w:tcW w:type="dxa" w:w="5184"/>
            <w:vAlign w:val="top"/>
          </w:tcPr>
          <w:p>
            <w:r>
              <w:rPr>
                <w:sz w:val="15"/>
              </w:rPr>
              <w:t>Sensitive actions with complete audit record</w:t>
            </w:r>
          </w:p>
        </w:tc>
      </w:tr>
    </w:tbl>
    <w:p/>
    <w:p>
      <w:pPr>
        <w:pStyle w:val="Heading1"/>
      </w:pPr>
      <w:r>
        <w:t>22. Testing strategy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DEDED"/>
            <w:vAlign w:val="center"/>
          </w:tcPr>
          <w:p>
            <w:r>
              <w:rPr>
                <w:sz w:val="15"/>
              </w:rPr>
              <w:t>Test layer</w:t>
            </w:r>
          </w:p>
        </w:tc>
        <w:tc>
          <w:tcPr>
            <w:tcW w:type="dxa" w:w="5184"/>
            <w:shd w:fill="EDEDED"/>
            <w:vAlign w:val="center"/>
          </w:tcPr>
          <w:p>
            <w:r>
              <w:rPr>
                <w:sz w:val="15"/>
              </w:rPr>
              <w:t>Examples</w:t>
            </w:r>
          </w:p>
        </w:tc>
      </w:tr>
      <w:tr>
        <w:tc>
          <w:tcPr>
            <w:tcW w:type="dxa" w:w="5184"/>
            <w:vAlign w:val="top"/>
          </w:tcPr>
          <w:p>
            <w:r>
              <w:rPr>
                <w:sz w:val="15"/>
              </w:rPr>
              <w:t>Unit</w:t>
            </w:r>
          </w:p>
        </w:tc>
        <w:tc>
          <w:tcPr>
            <w:tcW w:type="dxa" w:w="5184"/>
            <w:vAlign w:val="top"/>
          </w:tcPr>
          <w:p>
            <w:r>
              <w:rPr>
                <w:sz w:val="15"/>
              </w:rPr>
              <w:t>State transition rules, ranking, validation, idempotency</w:t>
            </w:r>
          </w:p>
        </w:tc>
      </w:tr>
      <w:tr>
        <w:tc>
          <w:tcPr>
            <w:tcW w:type="dxa" w:w="5184"/>
            <w:vAlign w:val="top"/>
          </w:tcPr>
          <w:p>
            <w:r>
              <w:rPr>
                <w:sz w:val="15"/>
              </w:rPr>
              <w:t>Contract</w:t>
            </w:r>
          </w:p>
        </w:tc>
        <w:tc>
          <w:tcPr>
            <w:tcW w:type="dxa" w:w="5184"/>
            <w:vAlign w:val="top"/>
          </w:tcPr>
          <w:p>
            <w:r>
              <w:rPr>
                <w:sz w:val="15"/>
              </w:rPr>
              <w:t>Adapter request/response mappings; UHI/ABDM mocks</w:t>
            </w:r>
          </w:p>
        </w:tc>
      </w:tr>
      <w:tr>
        <w:tc>
          <w:tcPr>
            <w:tcW w:type="dxa" w:w="5184"/>
            <w:vAlign w:val="top"/>
          </w:tcPr>
          <w:p>
            <w:r>
              <w:rPr>
                <w:sz w:val="15"/>
              </w:rPr>
              <w:t>FHIR</w:t>
            </w:r>
          </w:p>
        </w:tc>
        <w:tc>
          <w:tcPr>
            <w:tcW w:type="dxa" w:w="5184"/>
            <w:vAlign w:val="top"/>
          </w:tcPr>
          <w:p>
            <w:r>
              <w:rPr>
                <w:sz w:val="15"/>
              </w:rPr>
              <w:t>Profile validation, mandatory fields, terminology codes</w:t>
            </w:r>
          </w:p>
        </w:tc>
      </w:tr>
      <w:tr>
        <w:tc>
          <w:tcPr>
            <w:tcW w:type="dxa" w:w="5184"/>
            <w:vAlign w:val="top"/>
          </w:tcPr>
          <w:p>
            <w:r>
              <w:rPr>
                <w:sz w:val="15"/>
              </w:rPr>
              <w:t>Integration</w:t>
            </w:r>
          </w:p>
        </w:tc>
        <w:tc>
          <w:tcPr>
            <w:tcW w:type="dxa" w:w="5184"/>
            <w:vAlign w:val="top"/>
          </w:tcPr>
          <w:p>
            <w:r>
              <w:rPr>
                <w:sz w:val="15"/>
              </w:rPr>
              <w:t>End-to-end simulated referral with external mocks</w:t>
            </w:r>
          </w:p>
        </w:tc>
      </w:tr>
      <w:tr>
        <w:tc>
          <w:tcPr>
            <w:tcW w:type="dxa" w:w="5184"/>
            <w:vAlign w:val="top"/>
          </w:tcPr>
          <w:p>
            <w:r>
              <w:rPr>
                <w:sz w:val="15"/>
              </w:rPr>
              <w:t>Offline</w:t>
            </w:r>
          </w:p>
        </w:tc>
        <w:tc>
          <w:tcPr>
            <w:tcW w:type="dxa" w:w="5184"/>
            <w:vAlign w:val="top"/>
          </w:tcPr>
          <w:p>
            <w:r>
              <w:rPr>
                <w:sz w:val="15"/>
              </w:rPr>
              <w:t>Airplane mode, reconnect, duplicate, out-of-order sync</w:t>
            </w:r>
          </w:p>
        </w:tc>
      </w:tr>
      <w:tr>
        <w:tc>
          <w:tcPr>
            <w:tcW w:type="dxa" w:w="5184"/>
            <w:vAlign w:val="top"/>
          </w:tcPr>
          <w:p>
            <w:r>
              <w:rPr>
                <w:sz w:val="15"/>
              </w:rPr>
              <w:t>Security</w:t>
            </w:r>
          </w:p>
        </w:tc>
        <w:tc>
          <w:tcPr>
            <w:tcW w:type="dxa" w:w="5184"/>
            <w:vAlign w:val="top"/>
          </w:tcPr>
          <w:p>
            <w:r>
              <w:rPr>
                <w:sz w:val="15"/>
              </w:rPr>
              <w:t>AuthZ matrix, injection, secrets, token expiry, abuse</w:t>
            </w:r>
          </w:p>
        </w:tc>
      </w:tr>
      <w:tr>
        <w:tc>
          <w:tcPr>
            <w:tcW w:type="dxa" w:w="5184"/>
            <w:vAlign w:val="top"/>
          </w:tcPr>
          <w:p>
            <w:r>
              <w:rPr>
                <w:sz w:val="15"/>
              </w:rPr>
              <w:t>Performance</w:t>
            </w:r>
          </w:p>
        </w:tc>
        <w:tc>
          <w:tcPr>
            <w:tcW w:type="dxa" w:w="5184"/>
            <w:vAlign w:val="top"/>
          </w:tcPr>
          <w:p>
            <w:r>
              <w:rPr>
                <w:sz w:val="15"/>
              </w:rPr>
              <w:t>Concurrent journeys, queue bursts, callback spikes</w:t>
            </w:r>
          </w:p>
        </w:tc>
      </w:tr>
      <w:tr>
        <w:tc>
          <w:tcPr>
            <w:tcW w:type="dxa" w:w="5184"/>
            <w:vAlign w:val="top"/>
          </w:tcPr>
          <w:p>
            <w:r>
              <w:rPr>
                <w:sz w:val="15"/>
              </w:rPr>
              <w:t>Resilience</w:t>
            </w:r>
          </w:p>
        </w:tc>
        <w:tc>
          <w:tcPr>
            <w:tcW w:type="dxa" w:w="5184"/>
            <w:vAlign w:val="top"/>
          </w:tcPr>
          <w:p>
            <w:r>
              <w:rPr>
                <w:sz w:val="15"/>
              </w:rPr>
              <w:t>External API outage, database failover, event replay</w:t>
            </w:r>
          </w:p>
        </w:tc>
      </w:tr>
      <w:tr>
        <w:tc>
          <w:tcPr>
            <w:tcW w:type="dxa" w:w="5184"/>
            <w:vAlign w:val="top"/>
          </w:tcPr>
          <w:p>
            <w:r>
              <w:rPr>
                <w:sz w:val="15"/>
              </w:rPr>
              <w:t>Clinical safety</w:t>
            </w:r>
          </w:p>
        </w:tc>
        <w:tc>
          <w:tcPr>
            <w:tcW w:type="dxa" w:w="5184"/>
            <w:vAlign w:val="top"/>
          </w:tcPr>
          <w:p>
            <w:r>
              <w:rPr>
                <w:sz w:val="15"/>
              </w:rPr>
              <w:t>Rules validated by clinicians; unsafe recommendation tests</w:t>
            </w:r>
          </w:p>
        </w:tc>
      </w:tr>
      <w:tr>
        <w:tc>
          <w:tcPr>
            <w:tcW w:type="dxa" w:w="5184"/>
            <w:vAlign w:val="top"/>
          </w:tcPr>
          <w:p>
            <w:r>
              <w:rPr>
                <w:sz w:val="15"/>
              </w:rPr>
              <w:t>Usability</w:t>
            </w:r>
          </w:p>
        </w:tc>
        <w:tc>
          <w:tcPr>
            <w:tcW w:type="dxa" w:w="5184"/>
            <w:vAlign w:val="top"/>
          </w:tcPr>
          <w:p>
            <w:r>
              <w:rPr>
                <w:sz w:val="15"/>
              </w:rPr>
              <w:t>ASHA/ANM task completion under low bandwidth</w:t>
            </w:r>
          </w:p>
        </w:tc>
      </w:tr>
    </w:tbl>
    <w:p/>
    <w:p>
      <w:pPr>
        <w:pStyle w:val="Heading1"/>
      </w:pPr>
      <w:r>
        <w:t>23. Production deployment topology</w:t>
      </w:r>
    </w:p>
    <w:p>
      <w:r>
        <w:t>Internet / managed connectivity</w:t>
        <w:br/>
        <w:t xml:space="preserve">        ↓</w:t>
        <w:br/>
        <w:t>WAF / Load Balancer</w:t>
        <w:br/>
        <w:t xml:space="preserve">        ↓</w:t>
        <w:br/>
        <w:t>API Gateway / BFF</w:t>
        <w:br/>
        <w:t xml:space="preserve">        ↓</w:t>
        <w:br/>
        <w:t>Core Application Pods ─── Worker/Scheduler</w:t>
        <w:br/>
        <w:t xml:space="preserve">        │</w:t>
        <w:br/>
        <w:t xml:space="preserve">        ├── PostgreSQL (HA)</w:t>
        <w:br/>
        <w:t xml:space="preserve">        ├── Redis</w:t>
        <w:br/>
        <w:t xml:space="preserve">        ├── Event Bus</w:t>
        <w:br/>
        <w:t xml:space="preserve">        ├── Object Storage</w:t>
        <w:br/>
        <w:t xml:space="preserve">        └── Observability stack</w:t>
        <w:br/>
        <w:t xml:space="preserve">        │</w:t>
        <w:br/>
        <w:t>Integration Network Segment</w:t>
        <w:br/>
        <w:t xml:space="preserve">        ├── ABDM/UHI connector</w:t>
        <w:br/>
        <w:t xml:space="preserve">        ├── State connectors</w:t>
        <w:br/>
        <w:t xml:space="preserve">        └── Facility/legacy connectors</w:t>
      </w:r>
    </w:p>
    <w:p>
      <w:r>
        <w:t>For a pilot, prefer managed database/object storage and a small managed container platform. Move to multi-zone Kubernetes once the workload and operating model justify it. The architecture should support a future state/district edge or private-network deployment where required by government infrastructure.</w:t>
      </w:r>
    </w:p>
    <w:p>
      <w:pPr>
        <w:pStyle w:val="Heading1"/>
      </w:pPr>
      <w:r>
        <w:t>24. Engineering decisions we should lock</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DEDED"/>
            <w:vAlign w:val="center"/>
          </w:tcPr>
          <w:p>
            <w:r>
              <w:rPr>
                <w:sz w:val="15"/>
              </w:rPr>
              <w:t>Decision</w:t>
            </w:r>
          </w:p>
        </w:tc>
        <w:tc>
          <w:tcPr>
            <w:tcW w:type="dxa" w:w="5184"/>
            <w:shd w:fill="EDEDED"/>
            <w:vAlign w:val="center"/>
          </w:tcPr>
          <w:p>
            <w:r>
              <w:rPr>
                <w:sz w:val="15"/>
              </w:rPr>
              <w:t>Choice</w:t>
            </w:r>
          </w:p>
        </w:tc>
      </w:tr>
      <w:tr>
        <w:tc>
          <w:tcPr>
            <w:tcW w:type="dxa" w:w="5184"/>
            <w:vAlign w:val="top"/>
          </w:tcPr>
          <w:p>
            <w:r>
              <w:rPr>
                <w:sz w:val="15"/>
              </w:rPr>
              <w:t>Architecture</w:t>
            </w:r>
          </w:p>
        </w:tc>
        <w:tc>
          <w:tcPr>
            <w:tcW w:type="dxa" w:w="5184"/>
            <w:vAlign w:val="top"/>
          </w:tcPr>
          <w:p>
            <w:r>
              <w:rPr>
                <w:sz w:val="15"/>
              </w:rPr>
              <w:t>Modular core + event-driven integration hub</w:t>
            </w:r>
          </w:p>
        </w:tc>
      </w:tr>
      <w:tr>
        <w:tc>
          <w:tcPr>
            <w:tcW w:type="dxa" w:w="5184"/>
            <w:vAlign w:val="top"/>
          </w:tcPr>
          <w:p>
            <w:r>
              <w:rPr>
                <w:sz w:val="15"/>
              </w:rPr>
              <w:t>Canonical clinical exchange</w:t>
            </w:r>
          </w:p>
        </w:tc>
        <w:tc>
          <w:tcPr>
            <w:tcW w:type="dxa" w:w="5184"/>
            <w:vAlign w:val="top"/>
          </w:tcPr>
          <w:p>
            <w:r>
              <w:rPr>
                <w:sz w:val="15"/>
              </w:rPr>
              <w:t>ABDM FHIR R4 profiles, pinned IG version</w:t>
            </w:r>
          </w:p>
        </w:tc>
      </w:tr>
      <w:tr>
        <w:tc>
          <w:tcPr>
            <w:tcW w:type="dxa" w:w="5184"/>
            <w:vAlign w:val="top"/>
          </w:tcPr>
          <w:p>
            <w:r>
              <w:rPr>
                <w:sz w:val="15"/>
              </w:rPr>
              <w:t>Business state</w:t>
            </w:r>
          </w:p>
        </w:tc>
        <w:tc>
          <w:tcPr>
            <w:tcW w:type="dxa" w:w="5184"/>
            <w:vAlign w:val="top"/>
          </w:tcPr>
          <w:p>
            <w:r>
              <w:rPr>
                <w:sz w:val="15"/>
              </w:rPr>
              <w:t>Our CareJourney state machine</w:t>
            </w:r>
          </w:p>
        </w:tc>
      </w:tr>
      <w:tr>
        <w:tc>
          <w:tcPr>
            <w:tcW w:type="dxa" w:w="5184"/>
            <w:vAlign w:val="top"/>
          </w:tcPr>
          <w:p>
            <w:r>
              <w:rPr>
                <w:sz w:val="15"/>
              </w:rPr>
              <w:t>External system ownership</w:t>
            </w:r>
          </w:p>
        </w:tc>
        <w:tc>
          <w:tcPr>
            <w:tcW w:type="dxa" w:w="5184"/>
            <w:vAlign w:val="top"/>
          </w:tcPr>
          <w:p>
            <w:r>
              <w:rPr>
                <w:sz w:val="15"/>
              </w:rPr>
              <w:t>Adapter boundary + source-of-truth preservation</w:t>
            </w:r>
          </w:p>
        </w:tc>
      </w:tr>
      <w:tr>
        <w:tc>
          <w:tcPr>
            <w:tcW w:type="dxa" w:w="5184"/>
            <w:vAlign w:val="top"/>
          </w:tcPr>
          <w:p>
            <w:r>
              <w:rPr>
                <w:sz w:val="15"/>
              </w:rPr>
              <w:t>Database</w:t>
            </w:r>
          </w:p>
        </w:tc>
        <w:tc>
          <w:tcPr>
            <w:tcW w:type="dxa" w:w="5184"/>
            <w:vAlign w:val="top"/>
          </w:tcPr>
          <w:p>
            <w:r>
              <w:rPr>
                <w:sz w:val="15"/>
              </w:rPr>
              <w:t>PostgreSQL</w:t>
            </w:r>
          </w:p>
        </w:tc>
      </w:tr>
      <w:tr>
        <w:tc>
          <w:tcPr>
            <w:tcW w:type="dxa" w:w="5184"/>
            <w:vAlign w:val="top"/>
          </w:tcPr>
          <w:p>
            <w:r>
              <w:rPr>
                <w:sz w:val="15"/>
              </w:rPr>
              <w:t>Mobile</w:t>
            </w:r>
          </w:p>
        </w:tc>
        <w:tc>
          <w:tcPr>
            <w:tcW w:type="dxa" w:w="5184"/>
            <w:vAlign w:val="top"/>
          </w:tcPr>
          <w:p>
            <w:r>
              <w:rPr>
                <w:sz w:val="15"/>
              </w:rPr>
              <w:t>Flutter offline-first</w:t>
            </w:r>
          </w:p>
        </w:tc>
      </w:tr>
      <w:tr>
        <w:tc>
          <w:tcPr>
            <w:tcW w:type="dxa" w:w="5184"/>
            <w:vAlign w:val="top"/>
          </w:tcPr>
          <w:p>
            <w:r>
              <w:rPr>
                <w:sz w:val="15"/>
              </w:rPr>
              <w:t>Backend</w:t>
            </w:r>
          </w:p>
        </w:tc>
        <w:tc>
          <w:tcPr>
            <w:tcW w:type="dxa" w:w="5184"/>
            <w:vAlign w:val="top"/>
          </w:tcPr>
          <w:p>
            <w:r>
              <w:rPr>
                <w:sz w:val="15"/>
              </w:rPr>
              <w:t>Java/Spring Boot</w:t>
            </w:r>
          </w:p>
        </w:tc>
      </w:tr>
      <w:tr>
        <w:tc>
          <w:tcPr>
            <w:tcW w:type="dxa" w:w="5184"/>
            <w:vAlign w:val="top"/>
          </w:tcPr>
          <w:p>
            <w:r>
              <w:rPr>
                <w:sz w:val="15"/>
              </w:rPr>
              <w:t>Eventing</w:t>
            </w:r>
          </w:p>
        </w:tc>
        <w:tc>
          <w:tcPr>
            <w:tcW w:type="dxa" w:w="5184"/>
            <w:vAlign w:val="top"/>
          </w:tcPr>
          <w:p>
            <w:r>
              <w:rPr>
                <w:sz w:val="15"/>
              </w:rPr>
              <w:t>Kafka at scale; simpler broker acceptable for pilot</w:t>
            </w:r>
          </w:p>
        </w:tc>
      </w:tr>
      <w:tr>
        <w:tc>
          <w:tcPr>
            <w:tcW w:type="dxa" w:w="5184"/>
            <w:vAlign w:val="top"/>
          </w:tcPr>
          <w:p>
            <w:r>
              <w:rPr>
                <w:sz w:val="15"/>
              </w:rPr>
              <w:t>Cloud/container</w:t>
            </w:r>
          </w:p>
        </w:tc>
        <w:tc>
          <w:tcPr>
            <w:tcW w:type="dxa" w:w="5184"/>
            <w:vAlign w:val="top"/>
          </w:tcPr>
          <w:p>
            <w:r>
              <w:rPr>
                <w:sz w:val="15"/>
              </w:rPr>
              <w:t>Containerized; managed platform first; Kubernetes at scale</w:t>
            </w:r>
          </w:p>
        </w:tc>
      </w:tr>
      <w:tr>
        <w:tc>
          <w:tcPr>
            <w:tcW w:type="dxa" w:w="5184"/>
            <w:vAlign w:val="top"/>
          </w:tcPr>
          <w:p>
            <w:r>
              <w:rPr>
                <w:sz w:val="15"/>
              </w:rPr>
              <w:t>Observability</w:t>
            </w:r>
          </w:p>
        </w:tc>
        <w:tc>
          <w:tcPr>
            <w:tcW w:type="dxa" w:w="5184"/>
            <w:vAlign w:val="top"/>
          </w:tcPr>
          <w:p>
            <w:r>
              <w:rPr>
                <w:sz w:val="15"/>
              </w:rPr>
              <w:t>OpenTelemetry-based</w:t>
            </w:r>
          </w:p>
        </w:tc>
      </w:tr>
      <w:tr>
        <w:tc>
          <w:tcPr>
            <w:tcW w:type="dxa" w:w="5184"/>
            <w:vAlign w:val="top"/>
          </w:tcPr>
          <w:p>
            <w:r>
              <w:rPr>
                <w:sz w:val="15"/>
              </w:rPr>
              <w:t>AI</w:t>
            </w:r>
          </w:p>
        </w:tc>
        <w:tc>
          <w:tcPr>
            <w:tcW w:type="dxa" w:w="5184"/>
            <w:vAlign w:val="top"/>
          </w:tcPr>
          <w:p>
            <w:r>
              <w:rPr>
                <w:sz w:val="15"/>
              </w:rPr>
              <w:t>Decision support only, rules-first</w:t>
            </w:r>
          </w:p>
        </w:tc>
      </w:tr>
      <w:tr>
        <w:tc>
          <w:tcPr>
            <w:tcW w:type="dxa" w:w="5184"/>
            <w:vAlign w:val="top"/>
          </w:tcPr>
          <w:p>
            <w:r>
              <w:rPr>
                <w:sz w:val="15"/>
              </w:rPr>
              <w:t>Primary MVP</w:t>
            </w:r>
          </w:p>
        </w:tc>
        <w:tc>
          <w:tcPr>
            <w:tcW w:type="dxa" w:w="5184"/>
            <w:vAlign w:val="top"/>
          </w:tcPr>
          <w:p>
            <w:r>
              <w:rPr>
                <w:sz w:val="15"/>
              </w:rPr>
              <w:t>NCD referral journey</w:t>
            </w:r>
          </w:p>
        </w:tc>
      </w:tr>
      <w:tr>
        <w:tc>
          <w:tcPr>
            <w:tcW w:type="dxa" w:w="5184"/>
            <w:vAlign w:val="top"/>
          </w:tcPr>
          <w:p>
            <w:r>
              <w:rPr>
                <w:sz w:val="15"/>
              </w:rPr>
              <w:t>Pilot state</w:t>
            </w:r>
          </w:p>
        </w:tc>
        <w:tc>
          <w:tcPr>
            <w:tcW w:type="dxa" w:w="5184"/>
            <w:vAlign w:val="top"/>
          </w:tcPr>
          <w:p>
            <w:r>
              <w:rPr>
                <w:sz w:val="15"/>
              </w:rPr>
              <w:t>Tamil Nadu</w:t>
            </w:r>
          </w:p>
        </w:tc>
      </w:tr>
      <w:tr>
        <w:tc>
          <w:tcPr>
            <w:tcW w:type="dxa" w:w="5184"/>
            <w:vAlign w:val="top"/>
          </w:tcPr>
          <w:p>
            <w:r>
              <w:rPr>
                <w:sz w:val="15"/>
              </w:rPr>
              <w:t>Portability test</w:t>
            </w:r>
          </w:p>
        </w:tc>
        <w:tc>
          <w:tcPr>
            <w:tcW w:type="dxa" w:w="5184"/>
            <w:vAlign w:val="top"/>
          </w:tcPr>
          <w:p>
            <w:r>
              <w:rPr>
                <w:sz w:val="15"/>
              </w:rPr>
              <w:t>Maharashtra</w:t>
            </w:r>
          </w:p>
        </w:tc>
      </w:tr>
    </w:tbl>
    <w:p/>
    <w:p>
      <w:pPr>
        <w:pStyle w:val="Heading1"/>
      </w:pPr>
      <w:r>
        <w:t>25. Implementation team</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DEDED"/>
            <w:vAlign w:val="center"/>
          </w:tcPr>
          <w:p>
            <w:r>
              <w:rPr>
                <w:sz w:val="15"/>
              </w:rPr>
              <w:t>Role</w:t>
            </w:r>
          </w:p>
        </w:tc>
        <w:tc>
          <w:tcPr>
            <w:tcW w:type="dxa" w:w="5184"/>
            <w:shd w:fill="EDEDED"/>
            <w:vAlign w:val="center"/>
          </w:tcPr>
          <w:p>
            <w:r>
              <w:rPr>
                <w:sz w:val="15"/>
              </w:rPr>
              <w:t>Initial responsibility</w:t>
            </w:r>
          </w:p>
        </w:tc>
      </w:tr>
      <w:tr>
        <w:tc>
          <w:tcPr>
            <w:tcW w:type="dxa" w:w="5184"/>
            <w:vAlign w:val="top"/>
          </w:tcPr>
          <w:p>
            <w:r>
              <w:rPr>
                <w:sz w:val="15"/>
              </w:rPr>
              <w:t>Product/health workflow lead</w:t>
            </w:r>
          </w:p>
        </w:tc>
        <w:tc>
          <w:tcPr>
            <w:tcW w:type="dxa" w:w="5184"/>
            <w:vAlign w:val="top"/>
          </w:tcPr>
          <w:p>
            <w:r>
              <w:rPr>
                <w:sz w:val="15"/>
              </w:rPr>
              <w:t>Care pathways, stakeholder requirements, acceptance criteria</w:t>
            </w:r>
          </w:p>
        </w:tc>
      </w:tr>
      <w:tr>
        <w:tc>
          <w:tcPr>
            <w:tcW w:type="dxa" w:w="5184"/>
            <w:vAlign w:val="top"/>
          </w:tcPr>
          <w:p>
            <w:r>
              <w:rPr>
                <w:sz w:val="15"/>
              </w:rPr>
              <w:t>Solution architect</w:t>
            </w:r>
          </w:p>
        </w:tc>
        <w:tc>
          <w:tcPr>
            <w:tcW w:type="dxa" w:w="5184"/>
            <w:vAlign w:val="top"/>
          </w:tcPr>
          <w:p>
            <w:r>
              <w:rPr>
                <w:sz w:val="15"/>
              </w:rPr>
              <w:t>Boundaries, ADRs, integration strategy</w:t>
            </w:r>
          </w:p>
        </w:tc>
      </w:tr>
      <w:tr>
        <w:tc>
          <w:tcPr>
            <w:tcW w:type="dxa" w:w="5184"/>
            <w:vAlign w:val="top"/>
          </w:tcPr>
          <w:p>
            <w:r>
              <w:rPr>
                <w:sz w:val="15"/>
              </w:rPr>
              <w:t>Backend engineers (2–3)</w:t>
            </w:r>
          </w:p>
        </w:tc>
        <w:tc>
          <w:tcPr>
            <w:tcW w:type="dxa" w:w="5184"/>
            <w:vAlign w:val="top"/>
          </w:tcPr>
          <w:p>
            <w:r>
              <w:rPr>
                <w:sz w:val="15"/>
              </w:rPr>
              <w:t>Core domain, API, workflow</w:t>
            </w:r>
          </w:p>
        </w:tc>
      </w:tr>
      <w:tr>
        <w:tc>
          <w:tcPr>
            <w:tcW w:type="dxa" w:w="5184"/>
            <w:vAlign w:val="top"/>
          </w:tcPr>
          <w:p>
            <w:r>
              <w:rPr>
                <w:sz w:val="15"/>
              </w:rPr>
              <w:t>Integration/FHIR engineer (1–2)</w:t>
            </w:r>
          </w:p>
        </w:tc>
        <w:tc>
          <w:tcPr>
            <w:tcW w:type="dxa" w:w="5184"/>
            <w:vAlign w:val="top"/>
          </w:tcPr>
          <w:p>
            <w:r>
              <w:rPr>
                <w:sz w:val="15"/>
              </w:rPr>
              <w:t>ABDM/UHI/state adapters</w:t>
            </w:r>
          </w:p>
        </w:tc>
      </w:tr>
      <w:tr>
        <w:tc>
          <w:tcPr>
            <w:tcW w:type="dxa" w:w="5184"/>
            <w:vAlign w:val="top"/>
          </w:tcPr>
          <w:p>
            <w:r>
              <w:rPr>
                <w:sz w:val="15"/>
              </w:rPr>
              <w:t>Mobile engineer (1–2)</w:t>
            </w:r>
          </w:p>
        </w:tc>
        <w:tc>
          <w:tcPr>
            <w:tcW w:type="dxa" w:w="5184"/>
            <w:vAlign w:val="top"/>
          </w:tcPr>
          <w:p>
            <w:r>
              <w:rPr>
                <w:sz w:val="15"/>
              </w:rPr>
              <w:t>Offline worker app</w:t>
            </w:r>
          </w:p>
        </w:tc>
      </w:tr>
      <w:tr>
        <w:tc>
          <w:tcPr>
            <w:tcW w:type="dxa" w:w="5184"/>
            <w:vAlign w:val="top"/>
          </w:tcPr>
          <w:p>
            <w:r>
              <w:rPr>
                <w:sz w:val="15"/>
              </w:rPr>
              <w:t>Frontend engineer (1–2)</w:t>
            </w:r>
          </w:p>
        </w:tc>
        <w:tc>
          <w:tcPr>
            <w:tcW w:type="dxa" w:w="5184"/>
            <w:vAlign w:val="top"/>
          </w:tcPr>
          <w:p>
            <w:r>
              <w:rPr>
                <w:sz w:val="15"/>
              </w:rPr>
              <w:t>Dashboards/role workflows</w:t>
            </w:r>
          </w:p>
        </w:tc>
      </w:tr>
      <w:tr>
        <w:tc>
          <w:tcPr>
            <w:tcW w:type="dxa" w:w="5184"/>
            <w:vAlign w:val="top"/>
          </w:tcPr>
          <w:p>
            <w:r>
              <w:rPr>
                <w:sz w:val="15"/>
              </w:rPr>
              <w:t>DevOps/SRE (1)</w:t>
            </w:r>
          </w:p>
        </w:tc>
        <w:tc>
          <w:tcPr>
            <w:tcW w:type="dxa" w:w="5184"/>
            <w:vAlign w:val="top"/>
          </w:tcPr>
          <w:p>
            <w:r>
              <w:rPr>
                <w:sz w:val="15"/>
              </w:rPr>
              <w:t>CI/CD, infra, observability, DR</w:t>
            </w:r>
          </w:p>
        </w:tc>
      </w:tr>
      <w:tr>
        <w:tc>
          <w:tcPr>
            <w:tcW w:type="dxa" w:w="5184"/>
            <w:vAlign w:val="top"/>
          </w:tcPr>
          <w:p>
            <w:r>
              <w:rPr>
                <w:sz w:val="15"/>
              </w:rPr>
              <w:t>Security engineer (part-time initially)</w:t>
            </w:r>
          </w:p>
        </w:tc>
        <w:tc>
          <w:tcPr>
            <w:tcW w:type="dxa" w:w="5184"/>
            <w:vAlign w:val="top"/>
          </w:tcPr>
          <w:p>
            <w:r>
              <w:rPr>
                <w:sz w:val="15"/>
              </w:rPr>
              <w:t>Threat model, VAPT, secrets, audit</w:t>
            </w:r>
          </w:p>
        </w:tc>
      </w:tr>
      <w:tr>
        <w:tc>
          <w:tcPr>
            <w:tcW w:type="dxa" w:w="5184"/>
            <w:vAlign w:val="top"/>
          </w:tcPr>
          <w:p>
            <w:r>
              <w:rPr>
                <w:sz w:val="15"/>
              </w:rPr>
              <w:t>Clinical safety lead</w:t>
            </w:r>
          </w:p>
        </w:tc>
        <w:tc>
          <w:tcPr>
            <w:tcW w:type="dxa" w:w="5184"/>
            <w:vAlign w:val="top"/>
          </w:tcPr>
          <w:p>
            <w:r>
              <w:rPr>
                <w:sz w:val="15"/>
              </w:rPr>
              <w:t>Triage/referral rules and AI review</w:t>
            </w:r>
          </w:p>
        </w:tc>
      </w:tr>
      <w:tr>
        <w:tc>
          <w:tcPr>
            <w:tcW w:type="dxa" w:w="5184"/>
            <w:vAlign w:val="top"/>
          </w:tcPr>
          <w:p>
            <w:r>
              <w:rPr>
                <w:sz w:val="15"/>
              </w:rPr>
              <w:t>QA/test engineer (1–2)</w:t>
            </w:r>
          </w:p>
        </w:tc>
        <w:tc>
          <w:tcPr>
            <w:tcW w:type="dxa" w:w="5184"/>
            <w:vAlign w:val="top"/>
          </w:tcPr>
          <w:p>
            <w:r>
              <w:rPr>
                <w:sz w:val="15"/>
              </w:rPr>
              <w:t>Automation, resilience, device/offline testing</w:t>
            </w:r>
          </w:p>
        </w:tc>
      </w:tr>
      <w:tr>
        <w:tc>
          <w:tcPr>
            <w:tcW w:type="dxa" w:w="5184"/>
            <w:vAlign w:val="top"/>
          </w:tcPr>
          <w:p>
            <w:r>
              <w:rPr>
                <w:sz w:val="15"/>
              </w:rPr>
              <w:t>Data/AI engineer (later)</w:t>
            </w:r>
          </w:p>
        </w:tc>
        <w:tc>
          <w:tcPr>
            <w:tcW w:type="dxa" w:w="5184"/>
            <w:vAlign w:val="top"/>
          </w:tcPr>
          <w:p>
            <w:r>
              <w:rPr>
                <w:sz w:val="15"/>
              </w:rPr>
              <w:t>Analytics/forecasting/risk models</w:t>
            </w:r>
          </w:p>
        </w:tc>
      </w:tr>
    </w:tbl>
    <w:p/>
    <w:p>
      <w:pPr>
        <w:pStyle w:val="Heading1"/>
      </w:pPr>
      <w:r>
        <w:t>26. Definition of Done for the first pilot</w:t>
      </w:r>
    </w:p>
    <w:p>
      <w:pPr>
        <w:pStyle w:val="ListBullet"/>
      </w:pPr>
      <w:r>
        <w:t>A real or formally simulated NCD journey can be created by a frontline worker and followed by a clinician.</w:t>
      </w:r>
    </w:p>
    <w:p>
      <w:pPr>
        <w:pStyle w:val="ListBullet"/>
      </w:pPr>
      <w:r>
        <w:t>The platform can link an authorized patient identity/reference without creating a duplicate national identity.</w:t>
      </w:r>
    </w:p>
    <w:p>
      <w:pPr>
        <w:pStyle w:val="ListBullet"/>
      </w:pPr>
      <w:r>
        <w:t>A referral progresses through explicit states and produces completion evidence.</w:t>
      </w:r>
    </w:p>
    <w:p>
      <w:pPr>
        <w:pStyle w:val="ListBullet"/>
      </w:pPr>
      <w:r>
        <w:t>At least one real integration path is exercised in a government-authorized sandbox or staging environment before any production claim.</w:t>
      </w:r>
    </w:p>
    <w:p>
      <w:pPr>
        <w:pStyle w:val="ListBullet"/>
      </w:pPr>
      <w:r>
        <w:t>Diagnostic and follow-up tasks can be tracked to closure.</w:t>
      </w:r>
    </w:p>
    <w:p>
      <w:pPr>
        <w:pStyle w:val="ListBullet"/>
      </w:pPr>
      <w:r>
        <w:t>Offline workflow can capture permitted events and synchronize them safely.</w:t>
      </w:r>
    </w:p>
    <w:p>
      <w:pPr>
        <w:pStyle w:val="ListBullet"/>
      </w:pPr>
      <w:r>
        <w:t>Every sensitive data access and state transition is auditable.</w:t>
      </w:r>
    </w:p>
    <w:p>
      <w:pPr>
        <w:pStyle w:val="ListBullet"/>
      </w:pPr>
      <w:r>
        <w:t>External API failure does not silently mark a transaction successful.</w:t>
      </w:r>
    </w:p>
    <w:p>
      <w:pPr>
        <w:pStyle w:val="ListBullet"/>
      </w:pPr>
      <w:r>
        <w:t>AI is disabled by default for patient-impacting autonomous actions.</w:t>
      </w:r>
    </w:p>
    <w:p>
      <w:pPr>
        <w:pStyle w:val="ListBullet"/>
      </w:pPr>
      <w:r>
        <w:t>Pilot KPI baselines are collected before measuring improvement.</w:t>
      </w:r>
    </w:p>
    <w:p>
      <w:pPr>
        <w:pStyle w:val="Heading1"/>
      </w:pPr>
      <w:r>
        <w:t>27. Sources / technical evidence</w:t>
      </w:r>
    </w:p>
    <w:p>
      <w:pPr>
        <w:pStyle w:val="ListBullet"/>
      </w:pPr>
      <w:r>
        <w:rPr>
          <w:sz w:val="16"/>
        </w:rPr>
        <w:t>National Resource Center for EHR Standards (NRCeS), FHIR Implementation Guide for ABDM v6.5.0, based on FHIR R4/4.0.1. https://www.nrces.in/ndhm/fhir/r4/ and https://www.nrces.in/ndhm/fhir/r4/downloads.html</w:t>
      </w:r>
    </w:p>
    <w:p>
      <w:pPr>
        <w:pStyle w:val="ListBullet"/>
      </w:pPr>
      <w:r>
        <w:rPr>
          <w:sz w:val="16"/>
        </w:rPr>
        <w:t>National Health Authority. ABDM FAQ / API and ecosystem guidance. https://abdm.gov.in/faqs</w:t>
      </w:r>
    </w:p>
    <w:p>
      <w:pPr>
        <w:pStyle w:val="ListBullet"/>
      </w:pPr>
      <w:r>
        <w:rPr>
          <w:sz w:val="16"/>
        </w:rPr>
        <w:t>NHA-ABDM. ABDM Wrapper public reference implementation, including HIP/HIU modules, FHIR mapper, sandbox bridge registration examples and deployment structure. https://github.com/NHA-ABDM/ABDM-wrapper</w:t>
      </w:r>
    </w:p>
    <w:p>
      <w:pPr>
        <w:pStyle w:val="ListBullet"/>
      </w:pPr>
      <w:r>
        <w:rPr>
          <w:sz w:val="16"/>
        </w:rPr>
        <w:t>NHA-ABDM. UHI public protocol/reference repository. https://github.com/NHA-ABDM/UHI</w:t>
      </w:r>
    </w:p>
    <w:p>
      <w:pPr>
        <w:pStyle w:val="ListBullet"/>
      </w:pPr>
      <w:r>
        <w:rPr>
          <w:sz w:val="16"/>
        </w:rPr>
        <w:t>NHA. UHI transaction examples and integration material. https://abdm.gov.in/hackathon</w:t>
      </w:r>
    </w:p>
    <w:p>
      <w:pPr>
        <w:pStyle w:val="ListBullet"/>
      </w:pPr>
      <w:r>
        <w:rPr>
          <w:sz w:val="16"/>
        </w:rPr>
        <w:t>NHM / MoHFW. 16th Common Review Mission Report 2024. https://nhm.gov.in/New-Update-2024-26/CRM/16th_CRM_Report_2024.pdf</w:t>
      </w:r>
    </w:p>
    <w:p>
      <w:pPr>
        <w:pStyle w:val="ListBullet"/>
      </w:pPr>
      <w:r>
        <w:rPr>
          <w:sz w:val="16"/>
        </w:rPr>
        <w:t>NHM / MoHFW. 17th Common Review Mission 2025. https://nhm.gov.in/New-Update-2024-26/CRM/17th-CRM-2025.pdf</w:t>
      </w:r>
    </w:p>
    <w:p>
      <w:pPr>
        <w:pStyle w:val="ListBullet"/>
      </w:pPr>
      <w:r>
        <w:rPr>
          <w:sz w:val="16"/>
        </w:rPr>
        <w:t>Maharashtra DMER. Digital Medical Education and Tertiary Healthcare Policy 2023. https://dmer.maharashtra.gov.in/</w:t>
      </w:r>
    </w:p>
    <w:p>
      <w:pPr>
        <w:pStyle w:val="Heading1"/>
      </w:pPr>
      <w:r>
        <w:t>28. Final engineering conclusion</w:t>
      </w:r>
    </w:p>
    <w:p>
      <w:r>
        <w:t>The implementation should start small in code but strong in boundaries: one transactional care-orchestration core, a durable event layer, strict adapter interfaces, FHIR-aligned clinical exchange, offline-first frontline workflows and observable referral closure. This avoids rebuilding government systems while still giving the project a unique operational responsibility: maintaining the state of the patient's care journey until the episode is completed or safely escalated.</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