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28"/>
          <w:szCs w:val="28"/>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&lt;Inventory Management&gt;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Business Objective:</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Poor inventory management leads to a loss in sales which in turn paints an inaccurate picture of lower demand for certain items, making future order predictions based on that past data inherently inaccurate. Instead, smart retailers use real-time data to move inventory where it’s needed before it’s too late. Additionally, they use predictive analytics to decide what to stock and where based on data about regional differences in preferences, weather, etc</w:t>
      </w:r>
    </w:p>
    <w:p w:rsidR="00000000" w:rsidDel="00000000" w:rsidP="00000000" w:rsidRDefault="00000000" w:rsidRPr="00000000" w14:paraId="0000000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Milestones:</w:t>
      </w:r>
    </w:p>
    <w:p w:rsidR="00000000" w:rsidDel="00000000" w:rsidP="00000000" w:rsidRDefault="00000000" w:rsidRPr="00000000" w14:paraId="0000000A">
      <w:pPr>
        <w:rPr>
          <w:sz w:val="24"/>
          <w:szCs w:val="24"/>
        </w:rPr>
      </w:pPr>
      <w:r w:rsidDel="00000000" w:rsidR="00000000" w:rsidRPr="00000000">
        <w:rPr>
          <w:sz w:val="24"/>
          <w:szCs w:val="24"/>
          <w:rtl w:val="0"/>
        </w:rPr>
        <w:t xml:space="preserve">30 days to complete the Project</w:t>
      </w:r>
    </w:p>
    <w:p w:rsidR="00000000" w:rsidDel="00000000" w:rsidP="00000000" w:rsidRDefault="00000000" w:rsidRPr="00000000" w14:paraId="0000000B">
      <w:pPr>
        <w:rPr>
          <w:sz w:val="24"/>
          <w:szCs w:val="24"/>
        </w:rPr>
      </w:pPr>
      <w:r w:rsidDel="00000000" w:rsidR="00000000" w:rsidRPr="00000000">
        <w:rPr>
          <w:rtl w:val="0"/>
        </w:rPr>
      </w:r>
    </w:p>
    <w:tbl>
      <w:tblPr>
        <w:tblStyle w:val="Table1"/>
        <w:tblW w:w="8247.0" w:type="dxa"/>
        <w:jc w:val="left"/>
        <w:tblInd w:w="0.0" w:type="dxa"/>
        <w:tblLayout w:type="fixed"/>
        <w:tblLook w:val="0400"/>
      </w:tblPr>
      <w:tblGrid>
        <w:gridCol w:w="2749"/>
        <w:gridCol w:w="2749"/>
        <w:gridCol w:w="2749"/>
        <w:tblGridChange w:id="0">
          <w:tblGrid>
            <w:gridCol w:w="2749"/>
            <w:gridCol w:w="2749"/>
            <w:gridCol w:w="2749"/>
          </w:tblGrid>
        </w:tblGridChange>
      </w:tblGrid>
      <w:tr>
        <w:trPr>
          <w:trHeight w:val="400" w:hRule="atLeast"/>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0C">
            <w:pPr>
              <w:rPr>
                <w:sz w:val="24"/>
                <w:szCs w:val="24"/>
              </w:rPr>
            </w:pPr>
            <w:r w:rsidDel="00000000" w:rsidR="00000000" w:rsidRPr="00000000">
              <w:rPr>
                <w:b w:val="1"/>
                <w:sz w:val="24"/>
                <w:szCs w:val="24"/>
                <w:rtl w:val="0"/>
              </w:rPr>
              <w:t xml:space="preserve">Milestone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0D">
            <w:pPr>
              <w:rPr>
                <w:sz w:val="24"/>
                <w:szCs w:val="24"/>
              </w:rPr>
            </w:pPr>
            <w:r w:rsidDel="00000000" w:rsidR="00000000" w:rsidRPr="00000000">
              <w:rPr>
                <w:b w:val="1"/>
                <w:sz w:val="24"/>
                <w:szCs w:val="24"/>
                <w:rtl w:val="0"/>
              </w:rPr>
              <w:t xml:space="preserve">Duration </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0E">
            <w:pPr>
              <w:rPr>
                <w:sz w:val="24"/>
                <w:szCs w:val="24"/>
              </w:rPr>
            </w:pPr>
            <w:r w:rsidDel="00000000" w:rsidR="00000000" w:rsidRPr="00000000">
              <w:rPr>
                <w:b w:val="1"/>
                <w:sz w:val="24"/>
                <w:szCs w:val="24"/>
                <w:rtl w:val="0"/>
              </w:rPr>
              <w:t xml:space="preserve">Task start - End Date </w:t>
            </w:r>
            <w:r w:rsidDel="00000000" w:rsidR="00000000" w:rsidRPr="00000000">
              <w:rPr>
                <w:rtl w:val="0"/>
              </w:rPr>
            </w:r>
          </w:p>
        </w:tc>
      </w:tr>
      <w:tr>
        <w:trPr>
          <w:trHeight w:val="400" w:hRule="atLeast"/>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0F">
            <w:pPr>
              <w:rPr>
                <w:sz w:val="24"/>
                <w:szCs w:val="24"/>
              </w:rPr>
            </w:pPr>
            <w:r w:rsidDel="00000000" w:rsidR="00000000" w:rsidRPr="00000000">
              <w:rPr>
                <w:sz w:val="24"/>
                <w:szCs w:val="24"/>
                <w:rtl w:val="0"/>
              </w:rPr>
              <w:t xml:space="preserve">Kick off and Business Objective discussion</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0">
            <w:pPr>
              <w:rPr>
                <w:sz w:val="24"/>
                <w:szCs w:val="24"/>
              </w:rPr>
            </w:pPr>
            <w:r w:rsidDel="00000000" w:rsidR="00000000" w:rsidRPr="00000000">
              <w:rPr>
                <w:sz w:val="24"/>
                <w:szCs w:val="24"/>
                <w:rtl w:val="0"/>
              </w:rPr>
              <w:t xml:space="preserve">1 day</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1">
            <w:pPr>
              <w:rPr>
                <w:sz w:val="24"/>
                <w:szCs w:val="24"/>
              </w:rPr>
            </w:pPr>
            <w:r w:rsidDel="00000000" w:rsidR="00000000" w:rsidRPr="00000000">
              <w:rPr>
                <w:rtl w:val="0"/>
              </w:rPr>
            </w:r>
          </w:p>
        </w:tc>
      </w:tr>
      <w:tr>
        <w:trPr>
          <w:trHeight w:val="400" w:hRule="atLeast"/>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2">
            <w:pPr>
              <w:rPr>
                <w:sz w:val="24"/>
                <w:szCs w:val="24"/>
              </w:rPr>
            </w:pPr>
            <w:r w:rsidDel="00000000" w:rsidR="00000000" w:rsidRPr="00000000">
              <w:rPr>
                <w:sz w:val="24"/>
                <w:szCs w:val="24"/>
                <w:rtl w:val="0"/>
              </w:rPr>
              <w:t xml:space="preserve">Data set Details</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3">
            <w:pPr>
              <w:rPr>
                <w:sz w:val="24"/>
                <w:szCs w:val="24"/>
              </w:rPr>
            </w:pPr>
            <w:r w:rsidDel="00000000" w:rsidR="00000000" w:rsidRPr="00000000">
              <w:rPr>
                <w:sz w:val="24"/>
                <w:szCs w:val="24"/>
                <w:rtl w:val="0"/>
              </w:rPr>
              <w:t xml:space="preserve">1 Week – 1 ½ week</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4">
            <w:pPr>
              <w:rPr>
                <w:sz w:val="24"/>
                <w:szCs w:val="24"/>
              </w:rPr>
            </w:pPr>
            <w:r w:rsidDel="00000000" w:rsidR="00000000" w:rsidRPr="00000000">
              <w:rPr>
                <w:rtl w:val="0"/>
              </w:rPr>
            </w:r>
          </w:p>
        </w:tc>
      </w:tr>
      <w:tr>
        <w:trPr>
          <w:trHeight w:val="400" w:hRule="atLeast"/>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5">
            <w:pPr>
              <w:rPr>
                <w:sz w:val="24"/>
                <w:szCs w:val="24"/>
              </w:rPr>
            </w:pPr>
            <w:r w:rsidDel="00000000" w:rsidR="00000000" w:rsidRPr="00000000">
              <w:rPr>
                <w:sz w:val="24"/>
                <w:szCs w:val="24"/>
                <w:rtl w:val="0"/>
              </w:rPr>
              <w:t xml:space="preserve">EDA</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6">
            <w:pPr>
              <w:rPr>
                <w:sz w:val="24"/>
                <w:szCs w:val="24"/>
              </w:rPr>
            </w:pPr>
            <w:r w:rsidDel="00000000" w:rsidR="00000000" w:rsidRPr="00000000">
              <w:rPr>
                <w:sz w:val="24"/>
                <w:szCs w:val="24"/>
                <w:rtl w:val="0"/>
              </w:rPr>
              <w:t xml:space="preserve">2 Weeks – 2 ½ week</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7">
            <w:pPr>
              <w:rPr>
                <w:sz w:val="24"/>
                <w:szCs w:val="24"/>
              </w:rPr>
            </w:pPr>
            <w:r w:rsidDel="00000000" w:rsidR="00000000" w:rsidRPr="00000000">
              <w:rPr>
                <w:rtl w:val="0"/>
              </w:rPr>
            </w:r>
          </w:p>
        </w:tc>
      </w:tr>
      <w:tr>
        <w:trPr>
          <w:trHeight w:val="400" w:hRule="atLeast"/>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8">
            <w:pPr>
              <w:rPr>
                <w:sz w:val="24"/>
                <w:szCs w:val="24"/>
              </w:rPr>
            </w:pPr>
            <w:r w:rsidDel="00000000" w:rsidR="00000000" w:rsidRPr="00000000">
              <w:rPr>
                <w:sz w:val="24"/>
                <w:szCs w:val="24"/>
                <w:rtl w:val="0"/>
              </w:rPr>
              <w:t xml:space="preserve">Model Building</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9">
            <w:pPr>
              <w:rPr>
                <w:sz w:val="24"/>
                <w:szCs w:val="24"/>
              </w:rPr>
            </w:pPr>
            <w:r w:rsidDel="00000000" w:rsidR="00000000" w:rsidRPr="00000000">
              <w:rPr>
                <w:sz w:val="24"/>
                <w:szCs w:val="24"/>
                <w:rtl w:val="0"/>
              </w:rPr>
              <w:t xml:space="preserve">1 Week – 1 ½ week</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A">
            <w:pPr>
              <w:rPr>
                <w:sz w:val="24"/>
                <w:szCs w:val="24"/>
              </w:rPr>
            </w:pPr>
            <w:r w:rsidDel="00000000" w:rsidR="00000000" w:rsidRPr="00000000">
              <w:rPr>
                <w:rtl w:val="0"/>
              </w:rPr>
            </w:r>
          </w:p>
        </w:tc>
      </w:tr>
      <w:tr>
        <w:trPr>
          <w:trHeight w:val="400" w:hRule="atLeast"/>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B">
            <w:pPr>
              <w:rPr>
                <w:sz w:val="24"/>
                <w:szCs w:val="24"/>
              </w:rPr>
            </w:pPr>
            <w:r w:rsidDel="00000000" w:rsidR="00000000" w:rsidRPr="00000000">
              <w:rPr>
                <w:sz w:val="24"/>
                <w:szCs w:val="24"/>
                <w:rtl w:val="0"/>
              </w:rPr>
              <w:t xml:space="preserve">Model Evaluation</w:t>
            </w:r>
          </w:p>
        </w:tc>
        <w:tc>
          <w:tcPr>
            <w:vMerge w:val="restart"/>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1 ½  week</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E">
            <w:pPr>
              <w:rPr>
                <w:sz w:val="24"/>
                <w:szCs w:val="24"/>
              </w:rPr>
            </w:pPr>
            <w:r w:rsidDel="00000000" w:rsidR="00000000" w:rsidRPr="00000000">
              <w:rPr>
                <w:rtl w:val="0"/>
              </w:rPr>
            </w:r>
          </w:p>
        </w:tc>
      </w:tr>
      <w:tr>
        <w:trPr>
          <w:trHeight w:val="400" w:hRule="atLeast"/>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F">
            <w:pPr>
              <w:rPr>
                <w:sz w:val="24"/>
                <w:szCs w:val="24"/>
              </w:rPr>
            </w:pPr>
            <w:r w:rsidDel="00000000" w:rsidR="00000000" w:rsidRPr="00000000">
              <w:rPr>
                <w:sz w:val="24"/>
                <w:szCs w:val="24"/>
                <w:rtl w:val="0"/>
              </w:rPr>
              <w:t xml:space="preserve">Feedback</w:t>
            </w:r>
          </w:p>
        </w:tc>
        <w:tc>
          <w:tcPr>
            <w:vMerge w:val="continue"/>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21">
            <w:pPr>
              <w:rPr>
                <w:sz w:val="24"/>
                <w:szCs w:val="24"/>
              </w:rPr>
            </w:pPr>
            <w:r w:rsidDel="00000000" w:rsidR="00000000" w:rsidRPr="00000000">
              <w:rPr>
                <w:rtl w:val="0"/>
              </w:rPr>
            </w:r>
          </w:p>
        </w:tc>
      </w:tr>
      <w:tr>
        <w:trPr>
          <w:trHeight w:val="400" w:hRule="atLeast"/>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2">
            <w:pPr>
              <w:rPr>
                <w:sz w:val="24"/>
                <w:szCs w:val="24"/>
              </w:rPr>
            </w:pPr>
            <w:r w:rsidDel="00000000" w:rsidR="00000000" w:rsidRPr="00000000">
              <w:rPr>
                <w:sz w:val="24"/>
                <w:szCs w:val="24"/>
                <w:rtl w:val="0"/>
              </w:rPr>
              <w:t xml:space="preserve">Deployment</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3">
            <w:pPr>
              <w:rPr>
                <w:sz w:val="24"/>
                <w:szCs w:val="24"/>
              </w:rPr>
            </w:pPr>
            <w:r w:rsidDel="00000000" w:rsidR="00000000" w:rsidRPr="00000000">
              <w:rPr>
                <w:sz w:val="24"/>
                <w:szCs w:val="24"/>
                <w:rtl w:val="0"/>
              </w:rPr>
              <w:t xml:space="preserve">1 Week</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4">
            <w:pPr>
              <w:rPr>
                <w:sz w:val="24"/>
                <w:szCs w:val="24"/>
              </w:rPr>
            </w:pPr>
            <w:r w:rsidDel="00000000" w:rsidR="00000000" w:rsidRPr="00000000">
              <w:rPr>
                <w:rtl w:val="0"/>
              </w:rPr>
            </w:r>
          </w:p>
        </w:tc>
      </w:tr>
      <w:tr>
        <w:trPr>
          <w:trHeight w:val="400" w:hRule="atLeast"/>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5">
            <w:pPr>
              <w:rPr>
                <w:sz w:val="24"/>
                <w:szCs w:val="24"/>
              </w:rPr>
            </w:pPr>
            <w:r w:rsidDel="00000000" w:rsidR="00000000" w:rsidRPr="00000000">
              <w:rPr>
                <w:sz w:val="24"/>
                <w:szCs w:val="24"/>
                <w:rtl w:val="0"/>
              </w:rPr>
              <w:t xml:space="preserve">Final presentation</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6">
            <w:pPr>
              <w:rPr>
                <w:sz w:val="24"/>
                <w:szCs w:val="24"/>
              </w:rPr>
            </w:pPr>
            <w:r w:rsidDel="00000000" w:rsidR="00000000" w:rsidRPr="00000000">
              <w:rPr>
                <w:sz w:val="24"/>
                <w:szCs w:val="24"/>
                <w:rtl w:val="0"/>
              </w:rPr>
              <w:t xml:space="preserve">1 day</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7">
            <w:pPr>
              <w:rPr>
                <w:sz w:val="24"/>
                <w:szCs w:val="24"/>
              </w:rPr>
            </w:pPr>
            <w:r w:rsidDel="00000000" w:rsidR="00000000" w:rsidRPr="00000000">
              <w:rPr>
                <w:rtl w:val="0"/>
              </w:rPr>
            </w:r>
          </w:p>
        </w:tc>
      </w:tr>
    </w:tbl>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Protocols:</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participants should add here to agreed timelines and timelines will not be extended</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documentation – Final presentation and R/python code to be submitted before the final presentation day</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participants must attend review meetings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9648C"/>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qrq9B/WJSm/CJqdp4XIhYZoAJA==">AMUW2mXR9G+p/Cyr15cdXczZzeKlsczOavQ75aMCyWTolS3KKUqU4T1qR00xWq71ebZ3ZBtFeY4oJixj3WaddT4sz0gC+DNkueStuAZyr8cWh3K7ltCozTM=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2019-08-31T11:51:00Z</dcterms:created>
</cp:coreProperties>
</file>