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DESIGN FORGE</w:t>
      </w:r>
    </w:p>
    <w:p>
      <w:pPr>
        <w:jc w:val="center"/>
      </w:pPr>
      <w:r>
        <w:rPr>
          <w:rFonts w:ascii="Times New Roman" w:hAnsi="Times New Roman"/>
          <w:b/>
          <w:sz w:val="30"/>
        </w:rPr>
        <w:t>PCB DESIGN AND GERBER GENERATION</w:t>
      </w:r>
    </w:p>
    <w:p/>
    <w:p>
      <w:pPr>
        <w:jc w:val="center"/>
      </w:pPr>
      <w:r>
        <w:rPr>
          <w:rFonts w:ascii="Times New Roman" w:hAnsi="Times New Roman"/>
          <w:b/>
          <w:sz w:val="44"/>
        </w:rPr>
        <w:t>COMMON EMITTER AMPLIFIER</w:t>
      </w:r>
    </w:p>
    <w:p>
      <w:pPr>
        <w:jc w:val="center"/>
      </w:pPr>
      <w:r>
        <w:rPr>
          <w:rFonts w:ascii="Times New Roman" w:hAnsi="Times New Roman"/>
          <w:b/>
          <w:sz w:val="26"/>
        </w:rPr>
        <w:t>Design and Creation of PCB Layout, Track Routing and Gerber Files</w:t>
      </w:r>
    </w:p>
    <w:p/>
    <w:p>
      <w:pPr>
        <w:jc w:val="center"/>
      </w:pPr>
      <w:r>
        <w:rPr>
          <w:rFonts w:ascii="Times New Roman" w:hAnsi="Times New Roman"/>
          <w:b w:val="0"/>
          <w:sz w:val="24"/>
        </w:rPr>
        <w:t>A 10-Page Technical Report</w:t>
      </w:r>
    </w:p>
    <w:p/>
    <w:p/>
    <w:p>
      <w:pPr>
        <w:jc w:val="center"/>
      </w:pPr>
      <w:r>
        <w:rPr>
          <w:rFonts w:ascii="Times New Roman" w:hAnsi="Times New Roman"/>
          <w:b/>
          <w:sz w:val="22"/>
        </w:rPr>
        <w:t>Submitted by</w:t>
      </w:r>
    </w:p>
    <w:p>
      <w:pPr>
        <w:jc w:val="center"/>
      </w:pPr>
      <w:r>
        <w:rPr>
          <w:rFonts w:ascii="Times New Roman" w:hAnsi="Times New Roman"/>
          <w:b w:val="0"/>
          <w:sz w:val="24"/>
        </w:rPr>
        <w:t>P. Gokulnath</w:t>
      </w:r>
    </w:p>
    <w:p>
      <w:pPr>
        <w:jc w:val="center"/>
      </w:pPr>
      <w:r>
        <w:rPr>
          <w:rFonts w:ascii="Times New Roman" w:hAnsi="Times New Roman"/>
          <w:b w:val="0"/>
          <w:sz w:val="22"/>
        </w:rPr>
        <w:t>Department of Electronics and Communication Engineering</w:t>
      </w:r>
    </w:p>
    <w:p>
      <w:pPr>
        <w:jc w:val="center"/>
      </w:pPr>
      <w:r>
        <w:rPr>
          <w:rFonts w:ascii="Times New Roman" w:hAnsi="Times New Roman"/>
          <w:b w:val="0"/>
          <w:sz w:val="22"/>
        </w:rPr>
        <w:t>Academic Year 2026</w:t>
      </w:r>
    </w:p>
    <w:p/>
    <w:p>
      <w:pPr>
        <w:jc w:val="center"/>
      </w:pPr>
      <w:r>
        <w:rPr>
          <w:rFonts w:ascii="Times New Roman" w:hAnsi="Times New Roman"/>
          <w:b/>
          <w:sz w:val="22"/>
        </w:rPr>
        <w:t>PCB Design Software: KiCad</w:t>
      </w:r>
    </w:p>
    <w:p>
      <w:pPr>
        <w:jc w:val="center"/>
      </w:pPr>
      <w:r>
        <w:rPr>
          <w:rFonts w:ascii="Times New Roman" w:hAnsi="Times New Roman"/>
          <w:b w:val="0"/>
          <w:sz w:val="20"/>
        </w:rPr>
        <w:t>Design type: Single-layer prototype PCB</w:t>
      </w:r>
    </w:p>
    <w:p>
      <w:r>
        <w:br w:type="page"/>
      </w:r>
    </w:p>
    <w:p>
      <w:pPr>
        <w:pStyle w:val="Heading1"/>
      </w:pPr>
      <w:r>
        <w:t>1. Abstract</w:t>
      </w:r>
    </w:p>
    <w:p>
      <w:pPr>
        <w:jc w:val="both"/>
      </w:pPr>
      <w:r>
        <w:t>This report presents the complete printed circuit board design procedure for a single-stage Common Emitter (CE) BJT amplifier. The work begins with the electrical schematic, continues through component assignment and PCB footprint selection, and concludes with placement, track routing, design-rule checking and generation of fabrication-ready Gerber files. The amplifier is designed around an NPN transistor and a voltage-divider bias network so that a small AC input can be amplified with a stable operating point.</w:t>
      </w:r>
    </w:p>
    <w:p>
      <w:pPr>
        <w:jc w:val="both"/>
      </w:pPr>
      <w:r>
        <w:t>The PCB is intentionally designed as a compact educational prototype. Signal paths are kept short, power and ground paths are made wider than small-signal traces, and polarized components are oriented consistently to reduce assembly errors. The final fabrication package contains the copper, solder-mask, silkscreen, board-outline and drill information normally required by a PCB manufacturer.</w:t>
      </w:r>
    </w:p>
    <w:p>
      <w:pPr>
        <w:pStyle w:val="Heading1"/>
      </w:pPr>
      <w:r>
        <w:t>1.1 Objectives</w:t>
      </w:r>
    </w:p>
    <w:p>
      <w:pPr>
        <w:pStyle w:val="ListBullet"/>
      </w:pPr>
      <w:r>
        <w:t>Create the CE amplifier schematic and verify electrical connectivity.</w:t>
      </w:r>
    </w:p>
    <w:p>
      <w:pPr>
        <w:pStyle w:val="ListBullet"/>
      </w:pPr>
      <w:r>
        <w:t>Assign practical through-hole footprints and define a compact PCB outline.</w:t>
      </w:r>
    </w:p>
    <w:p>
      <w:pPr>
        <w:pStyle w:val="ListBullet"/>
      </w:pPr>
      <w:r>
        <w:t>Place components to minimize unwanted coupling and simplify assembly.</w:t>
      </w:r>
    </w:p>
    <w:p>
      <w:pPr>
        <w:pStyle w:val="ListBullet"/>
      </w:pPr>
      <w:r>
        <w:t>Route PCB tracks with suitable widths, clearances and return paths.</w:t>
      </w:r>
    </w:p>
    <w:p>
      <w:pPr>
        <w:pStyle w:val="ListBullet"/>
      </w:pPr>
      <w:r>
        <w:t>Run design-rule checks and correct routing/clearance errors.</w:t>
      </w:r>
    </w:p>
    <w:p>
      <w:pPr>
        <w:pStyle w:val="ListBullet"/>
      </w:pPr>
      <w:r>
        <w:t>Generate Gerber and drill files suitable for fabrication and inspection.</w:t>
      </w:r>
    </w:p>
    <w:p>
      <w:pPr>
        <w:pStyle w:val="Heading1"/>
      </w:pPr>
      <w:r>
        <w:t>1.2 Expected Outcome</w:t>
      </w:r>
    </w:p>
    <w:p>
      <w:pPr>
        <w:jc w:val="both"/>
      </w:pPr>
      <w:r>
        <w:t>The expected outcome is a functional low-frequency voltage amplifier PCB that can be assembled using commonly available components. The report also documents the design decisions so that the same workflow can be repeated for other analog amplifier circuits.</w:t>
      </w:r>
    </w:p>
    <w:p>
      <w:r>
        <w:br w:type="page"/>
      </w:r>
    </w:p>
    <w:p>
      <w:pPr>
        <w:pStyle w:val="Heading1"/>
      </w:pPr>
      <w:r>
        <w:t>2. Circuit Description and Design Requirements</w:t>
      </w:r>
    </w:p>
    <w:p>
      <w:pPr>
        <w:pStyle w:val="Heading1"/>
      </w:pPr>
      <w:r>
        <w:t>2.1 Common Emitter Configuration</w:t>
      </w:r>
    </w:p>
    <w:p>
      <w:pPr>
        <w:jc w:val="both"/>
      </w:pPr>
      <w:r>
        <w:t>A common emitter amplifier uses the emitter as the common reference node for the input and output signal paths. In the proposed circuit, the input is coupled through C1 to the transistor base, while the output is taken from the collector through C2. R1 and R2 form the base voltage-divider, RC provides the collector load, and RE stabilizes the emitter current. C3 bypasses the emitter resistor for AC signals, increasing voltage gain while retaining DC bias stability.</w:t>
      </w:r>
    </w:p>
    <w:p>
      <w:pPr>
        <w:pStyle w:val="Heading1"/>
      </w:pPr>
      <w:r>
        <w:t>2.2 Proposed Component Values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jc w:val="center"/>
            </w:pPr>
            <w:r>
              <w:rPr>
                <w:rFonts w:ascii="Times New Roman" w:hAnsi="Times New Roman"/>
                <w:b/>
                <w:sz w:val="19"/>
              </w:rPr>
              <w:t>Ref.</w:t>
            </w:r>
          </w:p>
        </w:tc>
        <w:tc>
          <w:tcPr>
            <w:tcW w:type="dxa" w:w="2556"/>
            <w:vAlign w:val="center"/>
          </w:tcPr>
          <w:p>
            <w:pPr>
              <w:jc w:val="center"/>
            </w:pPr>
            <w:r>
              <w:rPr>
                <w:rFonts w:ascii="Times New Roman" w:hAnsi="Times New Roman"/>
                <w:b/>
                <w:sz w:val="19"/>
              </w:rPr>
              <w:t>Component</w:t>
            </w:r>
          </w:p>
        </w:tc>
        <w:tc>
          <w:tcPr>
            <w:tcW w:type="dxa" w:w="2556"/>
            <w:vAlign w:val="center"/>
          </w:tcPr>
          <w:p>
            <w:pPr>
              <w:jc w:val="center"/>
            </w:pPr>
            <w:r>
              <w:rPr>
                <w:rFonts w:ascii="Times New Roman" w:hAnsi="Times New Roman"/>
                <w:b/>
                <w:sz w:val="19"/>
              </w:rPr>
              <w:t>Value</w:t>
            </w:r>
          </w:p>
        </w:tc>
        <w:tc>
          <w:tcPr>
            <w:tcW w:type="dxa" w:w="2556"/>
            <w:vAlign w:val="center"/>
          </w:tcPr>
          <w:p>
            <w:pPr>
              <w:jc w:val="center"/>
            </w:pPr>
            <w:r>
              <w:rPr>
                <w:rFonts w:ascii="Times New Roman" w:hAnsi="Times New Roman"/>
                <w:b/>
                <w:sz w:val="19"/>
              </w:rPr>
              <w:t>Footprint</w:t>
            </w:r>
          </w:p>
        </w:tc>
      </w:tr>
      <w:tr>
        <w:tc>
          <w:tcPr>
            <w:tcW w:type="dxa" w:w="2556"/>
            <w:vAlign w:val="center"/>
          </w:tcPr>
          <w:p>
            <w:pPr>
              <w:jc w:val="center"/>
            </w:pPr>
            <w:r>
              <w:rPr>
                <w:rFonts w:ascii="Times New Roman" w:hAnsi="Times New Roman"/>
                <w:sz w:val="19"/>
              </w:rPr>
              <w:t>Q1</w:t>
            </w:r>
          </w:p>
        </w:tc>
        <w:tc>
          <w:tcPr>
            <w:tcW w:type="dxa" w:w="2556"/>
            <w:vAlign w:val="center"/>
          </w:tcPr>
          <w:p>
            <w:pPr>
              <w:jc w:val="center"/>
            </w:pPr>
            <w:r>
              <w:rPr>
                <w:rFonts w:ascii="Times New Roman" w:hAnsi="Times New Roman"/>
                <w:sz w:val="19"/>
              </w:rPr>
              <w:t>NPN transistor</w:t>
            </w:r>
          </w:p>
        </w:tc>
        <w:tc>
          <w:tcPr>
            <w:tcW w:type="dxa" w:w="2556"/>
            <w:vAlign w:val="center"/>
          </w:tcPr>
          <w:p>
            <w:pPr>
              <w:jc w:val="center"/>
            </w:pPr>
            <w:r>
              <w:rPr>
                <w:rFonts w:ascii="Times New Roman" w:hAnsi="Times New Roman"/>
                <w:sz w:val="19"/>
              </w:rPr>
              <w:t>BC547</w:t>
            </w:r>
          </w:p>
        </w:tc>
        <w:tc>
          <w:tcPr>
            <w:tcW w:type="dxa" w:w="2556"/>
            <w:vAlign w:val="center"/>
          </w:tcPr>
          <w:p>
            <w:pPr>
              <w:jc w:val="center"/>
            </w:pPr>
            <w:r>
              <w:rPr>
                <w:rFonts w:ascii="Times New Roman" w:hAnsi="Times New Roman"/>
                <w:sz w:val="19"/>
              </w:rPr>
              <w:t>TO-92 THT</w:t>
            </w:r>
          </w:p>
        </w:tc>
      </w:tr>
      <w:tr>
        <w:tc>
          <w:tcPr>
            <w:tcW w:type="dxa" w:w="2556"/>
            <w:vAlign w:val="center"/>
          </w:tcPr>
          <w:p>
            <w:pPr>
              <w:jc w:val="center"/>
            </w:pPr>
            <w:r>
              <w:rPr>
                <w:rFonts w:ascii="Times New Roman" w:hAnsi="Times New Roman"/>
                <w:sz w:val="19"/>
              </w:rPr>
              <w:t>R1</w:t>
            </w:r>
          </w:p>
        </w:tc>
        <w:tc>
          <w:tcPr>
            <w:tcW w:type="dxa" w:w="2556"/>
            <w:vAlign w:val="center"/>
          </w:tcPr>
          <w:p>
            <w:pPr>
              <w:jc w:val="center"/>
            </w:pPr>
            <w:r>
              <w:rPr>
                <w:rFonts w:ascii="Times New Roman" w:hAnsi="Times New Roman"/>
                <w:sz w:val="19"/>
              </w:rPr>
              <w:t>Resistor</w:t>
            </w:r>
          </w:p>
        </w:tc>
        <w:tc>
          <w:tcPr>
            <w:tcW w:type="dxa" w:w="2556"/>
            <w:vAlign w:val="center"/>
          </w:tcPr>
          <w:p>
            <w:pPr>
              <w:jc w:val="center"/>
            </w:pPr>
            <w:r>
              <w:rPr>
                <w:rFonts w:ascii="Times New Roman" w:hAnsi="Times New Roman"/>
                <w:sz w:val="19"/>
              </w:rPr>
              <w:t>47 kΩ</w:t>
            </w:r>
          </w:p>
        </w:tc>
        <w:tc>
          <w:tcPr>
            <w:tcW w:type="dxa" w:w="2556"/>
            <w:vAlign w:val="center"/>
          </w:tcPr>
          <w:p>
            <w:pPr>
              <w:jc w:val="center"/>
            </w:pPr>
            <w:r>
              <w:rPr>
                <w:rFonts w:ascii="Times New Roman" w:hAnsi="Times New Roman"/>
                <w:sz w:val="19"/>
              </w:rPr>
              <w:t>Axial DIN0207</w:t>
            </w:r>
          </w:p>
        </w:tc>
      </w:tr>
      <w:tr>
        <w:tc>
          <w:tcPr>
            <w:tcW w:type="dxa" w:w="2556"/>
            <w:vAlign w:val="center"/>
          </w:tcPr>
          <w:p>
            <w:pPr>
              <w:jc w:val="center"/>
            </w:pPr>
            <w:r>
              <w:rPr>
                <w:rFonts w:ascii="Times New Roman" w:hAnsi="Times New Roman"/>
                <w:sz w:val="19"/>
              </w:rPr>
              <w:t>R2</w:t>
            </w:r>
          </w:p>
        </w:tc>
        <w:tc>
          <w:tcPr>
            <w:tcW w:type="dxa" w:w="2556"/>
            <w:vAlign w:val="center"/>
          </w:tcPr>
          <w:p>
            <w:pPr>
              <w:jc w:val="center"/>
            </w:pPr>
            <w:r>
              <w:rPr>
                <w:rFonts w:ascii="Times New Roman" w:hAnsi="Times New Roman"/>
                <w:sz w:val="19"/>
              </w:rPr>
              <w:t>Resistor</w:t>
            </w:r>
          </w:p>
        </w:tc>
        <w:tc>
          <w:tcPr>
            <w:tcW w:type="dxa" w:w="2556"/>
            <w:vAlign w:val="center"/>
          </w:tcPr>
          <w:p>
            <w:pPr>
              <w:jc w:val="center"/>
            </w:pPr>
            <w:r>
              <w:rPr>
                <w:rFonts w:ascii="Times New Roman" w:hAnsi="Times New Roman"/>
                <w:sz w:val="19"/>
              </w:rPr>
              <w:t>10 kΩ</w:t>
            </w:r>
          </w:p>
        </w:tc>
        <w:tc>
          <w:tcPr>
            <w:tcW w:type="dxa" w:w="2556"/>
            <w:vAlign w:val="center"/>
          </w:tcPr>
          <w:p>
            <w:pPr>
              <w:jc w:val="center"/>
            </w:pPr>
            <w:r>
              <w:rPr>
                <w:rFonts w:ascii="Times New Roman" w:hAnsi="Times New Roman"/>
                <w:sz w:val="19"/>
              </w:rPr>
              <w:t>Axial DIN0207</w:t>
            </w:r>
          </w:p>
        </w:tc>
      </w:tr>
      <w:tr>
        <w:tc>
          <w:tcPr>
            <w:tcW w:type="dxa" w:w="2556"/>
            <w:vAlign w:val="center"/>
          </w:tcPr>
          <w:p>
            <w:pPr>
              <w:jc w:val="center"/>
            </w:pPr>
            <w:r>
              <w:rPr>
                <w:rFonts w:ascii="Times New Roman" w:hAnsi="Times New Roman"/>
                <w:sz w:val="19"/>
              </w:rPr>
              <w:t>RC</w:t>
            </w:r>
          </w:p>
        </w:tc>
        <w:tc>
          <w:tcPr>
            <w:tcW w:type="dxa" w:w="2556"/>
            <w:vAlign w:val="center"/>
          </w:tcPr>
          <w:p>
            <w:pPr>
              <w:jc w:val="center"/>
            </w:pPr>
            <w:r>
              <w:rPr>
                <w:rFonts w:ascii="Times New Roman" w:hAnsi="Times New Roman"/>
                <w:sz w:val="19"/>
              </w:rPr>
              <w:t>Collector resistor</w:t>
            </w:r>
          </w:p>
        </w:tc>
        <w:tc>
          <w:tcPr>
            <w:tcW w:type="dxa" w:w="2556"/>
            <w:vAlign w:val="center"/>
          </w:tcPr>
          <w:p>
            <w:pPr>
              <w:jc w:val="center"/>
            </w:pPr>
            <w:r>
              <w:rPr>
                <w:rFonts w:ascii="Times New Roman" w:hAnsi="Times New Roman"/>
                <w:sz w:val="19"/>
              </w:rPr>
              <w:t>2.2 kΩ</w:t>
            </w:r>
          </w:p>
        </w:tc>
        <w:tc>
          <w:tcPr>
            <w:tcW w:type="dxa" w:w="2556"/>
            <w:vAlign w:val="center"/>
          </w:tcPr>
          <w:p>
            <w:pPr>
              <w:jc w:val="center"/>
            </w:pPr>
            <w:r>
              <w:rPr>
                <w:rFonts w:ascii="Times New Roman" w:hAnsi="Times New Roman"/>
                <w:sz w:val="19"/>
              </w:rPr>
              <w:t>Axial DIN0207</w:t>
            </w:r>
          </w:p>
        </w:tc>
      </w:tr>
      <w:tr>
        <w:tc>
          <w:tcPr>
            <w:tcW w:type="dxa" w:w="2556"/>
            <w:vAlign w:val="center"/>
          </w:tcPr>
          <w:p>
            <w:pPr>
              <w:jc w:val="center"/>
            </w:pPr>
            <w:r>
              <w:rPr>
                <w:rFonts w:ascii="Times New Roman" w:hAnsi="Times New Roman"/>
                <w:sz w:val="19"/>
              </w:rPr>
              <w:t>RE</w:t>
            </w:r>
          </w:p>
        </w:tc>
        <w:tc>
          <w:tcPr>
            <w:tcW w:type="dxa" w:w="2556"/>
            <w:vAlign w:val="center"/>
          </w:tcPr>
          <w:p>
            <w:pPr>
              <w:jc w:val="center"/>
            </w:pPr>
            <w:r>
              <w:rPr>
                <w:rFonts w:ascii="Times New Roman" w:hAnsi="Times New Roman"/>
                <w:sz w:val="19"/>
              </w:rPr>
              <w:t>Emitter resistor</w:t>
            </w:r>
          </w:p>
        </w:tc>
        <w:tc>
          <w:tcPr>
            <w:tcW w:type="dxa" w:w="2556"/>
            <w:vAlign w:val="center"/>
          </w:tcPr>
          <w:p>
            <w:pPr>
              <w:jc w:val="center"/>
            </w:pPr>
            <w:r>
              <w:rPr>
                <w:rFonts w:ascii="Times New Roman" w:hAnsi="Times New Roman"/>
                <w:sz w:val="19"/>
              </w:rPr>
              <w:t>1 kΩ</w:t>
            </w:r>
          </w:p>
        </w:tc>
        <w:tc>
          <w:tcPr>
            <w:tcW w:type="dxa" w:w="2556"/>
            <w:vAlign w:val="center"/>
          </w:tcPr>
          <w:p>
            <w:pPr>
              <w:jc w:val="center"/>
            </w:pPr>
            <w:r>
              <w:rPr>
                <w:rFonts w:ascii="Times New Roman" w:hAnsi="Times New Roman"/>
                <w:sz w:val="19"/>
              </w:rPr>
              <w:t>Axial DIN0207</w:t>
            </w:r>
          </w:p>
        </w:tc>
      </w:tr>
      <w:tr>
        <w:tc>
          <w:tcPr>
            <w:tcW w:type="dxa" w:w="2556"/>
            <w:vAlign w:val="center"/>
          </w:tcPr>
          <w:p>
            <w:pPr>
              <w:jc w:val="center"/>
            </w:pPr>
            <w:r>
              <w:rPr>
                <w:rFonts w:ascii="Times New Roman" w:hAnsi="Times New Roman"/>
                <w:sz w:val="19"/>
              </w:rPr>
              <w:t>C1</w:t>
            </w:r>
          </w:p>
        </w:tc>
        <w:tc>
          <w:tcPr>
            <w:tcW w:type="dxa" w:w="2556"/>
            <w:vAlign w:val="center"/>
          </w:tcPr>
          <w:p>
            <w:pPr>
              <w:jc w:val="center"/>
            </w:pPr>
            <w:r>
              <w:rPr>
                <w:rFonts w:ascii="Times New Roman" w:hAnsi="Times New Roman"/>
                <w:sz w:val="19"/>
              </w:rPr>
              <w:t>Input coupling capacitor</w:t>
            </w:r>
          </w:p>
        </w:tc>
        <w:tc>
          <w:tcPr>
            <w:tcW w:type="dxa" w:w="2556"/>
            <w:vAlign w:val="center"/>
          </w:tcPr>
          <w:p>
            <w:pPr>
              <w:jc w:val="center"/>
            </w:pPr>
            <w:r>
              <w:rPr>
                <w:rFonts w:ascii="Times New Roman" w:hAnsi="Times New Roman"/>
                <w:sz w:val="19"/>
              </w:rPr>
              <w:t>10 µF</w:t>
            </w:r>
          </w:p>
        </w:tc>
        <w:tc>
          <w:tcPr>
            <w:tcW w:type="dxa" w:w="2556"/>
            <w:vAlign w:val="center"/>
          </w:tcPr>
          <w:p>
            <w:pPr>
              <w:jc w:val="center"/>
            </w:pPr>
            <w:r>
              <w:rPr>
                <w:rFonts w:ascii="Times New Roman" w:hAnsi="Times New Roman"/>
                <w:sz w:val="19"/>
              </w:rPr>
              <w:t>Radial THT</w:t>
            </w:r>
          </w:p>
        </w:tc>
      </w:tr>
      <w:tr>
        <w:tc>
          <w:tcPr>
            <w:tcW w:type="dxa" w:w="2556"/>
            <w:vAlign w:val="center"/>
          </w:tcPr>
          <w:p>
            <w:pPr>
              <w:jc w:val="center"/>
            </w:pPr>
            <w:r>
              <w:rPr>
                <w:rFonts w:ascii="Times New Roman" w:hAnsi="Times New Roman"/>
                <w:sz w:val="19"/>
              </w:rPr>
              <w:t>C2</w:t>
            </w:r>
          </w:p>
        </w:tc>
        <w:tc>
          <w:tcPr>
            <w:tcW w:type="dxa" w:w="2556"/>
            <w:vAlign w:val="center"/>
          </w:tcPr>
          <w:p>
            <w:pPr>
              <w:jc w:val="center"/>
            </w:pPr>
            <w:r>
              <w:rPr>
                <w:rFonts w:ascii="Times New Roman" w:hAnsi="Times New Roman"/>
                <w:sz w:val="19"/>
              </w:rPr>
              <w:t>Output coupling capacitor</w:t>
            </w:r>
          </w:p>
        </w:tc>
        <w:tc>
          <w:tcPr>
            <w:tcW w:type="dxa" w:w="2556"/>
            <w:vAlign w:val="center"/>
          </w:tcPr>
          <w:p>
            <w:pPr>
              <w:jc w:val="center"/>
            </w:pPr>
            <w:r>
              <w:rPr>
                <w:rFonts w:ascii="Times New Roman" w:hAnsi="Times New Roman"/>
                <w:sz w:val="19"/>
              </w:rPr>
              <w:t>10 µF</w:t>
            </w:r>
          </w:p>
        </w:tc>
        <w:tc>
          <w:tcPr>
            <w:tcW w:type="dxa" w:w="2556"/>
            <w:vAlign w:val="center"/>
          </w:tcPr>
          <w:p>
            <w:pPr>
              <w:jc w:val="center"/>
            </w:pPr>
            <w:r>
              <w:rPr>
                <w:rFonts w:ascii="Times New Roman" w:hAnsi="Times New Roman"/>
                <w:sz w:val="19"/>
              </w:rPr>
              <w:t>Radial THT</w:t>
            </w:r>
          </w:p>
        </w:tc>
      </w:tr>
      <w:tr>
        <w:tc>
          <w:tcPr>
            <w:tcW w:type="dxa" w:w="2556"/>
            <w:vAlign w:val="center"/>
          </w:tcPr>
          <w:p>
            <w:pPr>
              <w:jc w:val="center"/>
            </w:pPr>
            <w:r>
              <w:rPr>
                <w:rFonts w:ascii="Times New Roman" w:hAnsi="Times New Roman"/>
                <w:sz w:val="19"/>
              </w:rPr>
              <w:t>C3</w:t>
            </w:r>
          </w:p>
        </w:tc>
        <w:tc>
          <w:tcPr>
            <w:tcW w:type="dxa" w:w="2556"/>
            <w:vAlign w:val="center"/>
          </w:tcPr>
          <w:p>
            <w:pPr>
              <w:jc w:val="center"/>
            </w:pPr>
            <w:r>
              <w:rPr>
                <w:rFonts w:ascii="Times New Roman" w:hAnsi="Times New Roman"/>
                <w:sz w:val="19"/>
              </w:rPr>
              <w:t>Emitter bypass capacitor</w:t>
            </w:r>
          </w:p>
        </w:tc>
        <w:tc>
          <w:tcPr>
            <w:tcW w:type="dxa" w:w="2556"/>
            <w:vAlign w:val="center"/>
          </w:tcPr>
          <w:p>
            <w:pPr>
              <w:jc w:val="center"/>
            </w:pPr>
            <w:r>
              <w:rPr>
                <w:rFonts w:ascii="Times New Roman" w:hAnsi="Times New Roman"/>
                <w:sz w:val="19"/>
              </w:rPr>
              <w:t>100 µF</w:t>
            </w:r>
          </w:p>
        </w:tc>
        <w:tc>
          <w:tcPr>
            <w:tcW w:type="dxa" w:w="2556"/>
            <w:vAlign w:val="center"/>
          </w:tcPr>
          <w:p>
            <w:pPr>
              <w:jc w:val="center"/>
            </w:pPr>
            <w:r>
              <w:rPr>
                <w:rFonts w:ascii="Times New Roman" w:hAnsi="Times New Roman"/>
                <w:sz w:val="19"/>
              </w:rPr>
              <w:t>Radial THT</w:t>
            </w:r>
          </w:p>
        </w:tc>
      </w:tr>
      <w:tr>
        <w:tc>
          <w:tcPr>
            <w:tcW w:type="dxa" w:w="2556"/>
            <w:vAlign w:val="center"/>
          </w:tcPr>
          <w:p>
            <w:pPr>
              <w:jc w:val="center"/>
            </w:pPr>
            <w:r>
              <w:rPr>
                <w:rFonts w:ascii="Times New Roman" w:hAnsi="Times New Roman"/>
                <w:sz w:val="19"/>
              </w:rPr>
              <w:t>J1</w:t>
            </w:r>
          </w:p>
        </w:tc>
        <w:tc>
          <w:tcPr>
            <w:tcW w:type="dxa" w:w="2556"/>
            <w:vAlign w:val="center"/>
          </w:tcPr>
          <w:p>
            <w:pPr>
              <w:jc w:val="center"/>
            </w:pPr>
            <w:r>
              <w:rPr>
                <w:rFonts w:ascii="Times New Roman" w:hAnsi="Times New Roman"/>
                <w:sz w:val="19"/>
              </w:rPr>
              <w:t>Input connector</w:t>
            </w:r>
          </w:p>
        </w:tc>
        <w:tc>
          <w:tcPr>
            <w:tcW w:type="dxa" w:w="2556"/>
            <w:vAlign w:val="center"/>
          </w:tcPr>
          <w:p>
            <w:pPr>
              <w:jc w:val="center"/>
            </w:pPr>
            <w:r>
              <w:rPr>
                <w:rFonts w:ascii="Times New Roman" w:hAnsi="Times New Roman"/>
                <w:sz w:val="19"/>
              </w:rPr>
              <w:t>2-pin</w:t>
            </w:r>
          </w:p>
        </w:tc>
        <w:tc>
          <w:tcPr>
            <w:tcW w:type="dxa" w:w="2556"/>
            <w:vAlign w:val="center"/>
          </w:tcPr>
          <w:p>
            <w:pPr>
              <w:jc w:val="center"/>
            </w:pPr>
            <w:r>
              <w:rPr>
                <w:rFonts w:ascii="Times New Roman" w:hAnsi="Times New Roman"/>
                <w:sz w:val="19"/>
              </w:rPr>
              <w:t>2.54 mm</w:t>
            </w:r>
          </w:p>
        </w:tc>
      </w:tr>
      <w:tr>
        <w:tc>
          <w:tcPr>
            <w:tcW w:type="dxa" w:w="2556"/>
            <w:vAlign w:val="center"/>
          </w:tcPr>
          <w:p>
            <w:pPr>
              <w:jc w:val="center"/>
            </w:pPr>
            <w:r>
              <w:rPr>
                <w:rFonts w:ascii="Times New Roman" w:hAnsi="Times New Roman"/>
                <w:sz w:val="19"/>
              </w:rPr>
              <w:t>J2</w:t>
            </w:r>
          </w:p>
        </w:tc>
        <w:tc>
          <w:tcPr>
            <w:tcW w:type="dxa" w:w="2556"/>
            <w:vAlign w:val="center"/>
          </w:tcPr>
          <w:p>
            <w:pPr>
              <w:jc w:val="center"/>
            </w:pPr>
            <w:r>
              <w:rPr>
                <w:rFonts w:ascii="Times New Roman" w:hAnsi="Times New Roman"/>
                <w:sz w:val="19"/>
              </w:rPr>
              <w:t>Output connector</w:t>
            </w:r>
          </w:p>
        </w:tc>
        <w:tc>
          <w:tcPr>
            <w:tcW w:type="dxa" w:w="2556"/>
            <w:vAlign w:val="center"/>
          </w:tcPr>
          <w:p>
            <w:pPr>
              <w:jc w:val="center"/>
            </w:pPr>
            <w:r>
              <w:rPr>
                <w:rFonts w:ascii="Times New Roman" w:hAnsi="Times New Roman"/>
                <w:sz w:val="19"/>
              </w:rPr>
              <w:t>2-pin</w:t>
            </w:r>
          </w:p>
        </w:tc>
        <w:tc>
          <w:tcPr>
            <w:tcW w:type="dxa" w:w="2556"/>
            <w:vAlign w:val="center"/>
          </w:tcPr>
          <w:p>
            <w:pPr>
              <w:jc w:val="center"/>
            </w:pPr>
            <w:r>
              <w:rPr>
                <w:rFonts w:ascii="Times New Roman" w:hAnsi="Times New Roman"/>
                <w:sz w:val="19"/>
              </w:rPr>
              <w:t>2.54 mm</w:t>
            </w:r>
          </w:p>
        </w:tc>
      </w:tr>
      <w:tr>
        <w:tc>
          <w:tcPr>
            <w:tcW w:type="dxa" w:w="2556"/>
            <w:vAlign w:val="center"/>
          </w:tcPr>
          <w:p>
            <w:pPr>
              <w:jc w:val="center"/>
            </w:pPr>
            <w:r>
              <w:rPr>
                <w:rFonts w:ascii="Times New Roman" w:hAnsi="Times New Roman"/>
                <w:sz w:val="19"/>
              </w:rPr>
              <w:t>J3</w:t>
            </w:r>
          </w:p>
        </w:tc>
        <w:tc>
          <w:tcPr>
            <w:tcW w:type="dxa" w:w="2556"/>
            <w:vAlign w:val="center"/>
          </w:tcPr>
          <w:p>
            <w:pPr>
              <w:jc w:val="center"/>
            </w:pPr>
            <w:r>
              <w:rPr>
                <w:rFonts w:ascii="Times New Roman" w:hAnsi="Times New Roman"/>
                <w:sz w:val="19"/>
              </w:rPr>
              <w:t>Power connector</w:t>
            </w:r>
          </w:p>
        </w:tc>
        <w:tc>
          <w:tcPr>
            <w:tcW w:type="dxa" w:w="2556"/>
            <w:vAlign w:val="center"/>
          </w:tcPr>
          <w:p>
            <w:pPr>
              <w:jc w:val="center"/>
            </w:pPr>
            <w:r>
              <w:rPr>
                <w:rFonts w:ascii="Times New Roman" w:hAnsi="Times New Roman"/>
                <w:sz w:val="19"/>
              </w:rPr>
              <w:t>2-pin</w:t>
            </w:r>
          </w:p>
        </w:tc>
        <w:tc>
          <w:tcPr>
            <w:tcW w:type="dxa" w:w="2556"/>
            <w:vAlign w:val="center"/>
          </w:tcPr>
          <w:p>
            <w:pPr>
              <w:jc w:val="center"/>
            </w:pPr>
            <w:r>
              <w:rPr>
                <w:rFonts w:ascii="Times New Roman" w:hAnsi="Times New Roman"/>
                <w:sz w:val="19"/>
              </w:rPr>
              <w:t>2.54 mm</w:t>
            </w:r>
          </w:p>
        </w:tc>
      </w:tr>
    </w:tbl>
    <w:p>
      <w:pPr>
        <w:pStyle w:val="Heading1"/>
      </w:pPr>
      <w:r>
        <w:t>2.3 Electrical Design Considerations</w:t>
      </w:r>
    </w:p>
    <w:p>
      <w:pPr>
        <w:jc w:val="both"/>
      </w:pPr>
      <w:r>
        <w:t>The divider values establish the base DC voltage, while RE converts base-voltage changes into emitter-current stabilization. The collector resistor converts transistor current variations into an output voltage. Coupling capacitors block DC from external source and load circuits. The practical PCB should provide a clearly marked VCC and GND connection and enough space around Q1 to identify its flat side and pin order.</w:t>
      </w:r>
    </w:p>
    <w:p>
      <w:pPr>
        <w:pStyle w:val="Heading1"/>
      </w:pPr>
      <w:r>
        <w:t>2.4 Typical Operating Assumptions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Pr>
                <w:rFonts w:ascii="Times New Roman" w:hAnsi="Times New Roman"/>
                <w:b/>
                <w:sz w:val="19"/>
              </w:rPr>
              <w:t>Parameter</w:t>
            </w:r>
          </w:p>
        </w:tc>
        <w:tc>
          <w:tcPr>
            <w:tcW w:type="dxa" w:w="5112"/>
            <w:vAlign w:val="center"/>
          </w:tcPr>
          <w:p>
            <w:pPr>
              <w:jc w:val="center"/>
            </w:pPr>
            <w:r>
              <w:rPr>
                <w:rFonts w:ascii="Times New Roman" w:hAnsi="Times New Roman"/>
                <w:b/>
                <w:sz w:val="19"/>
              </w:rPr>
              <w:t>Design target</w:t>
            </w:r>
          </w:p>
        </w:tc>
      </w:tr>
      <w:tr>
        <w:tc>
          <w:tcPr>
            <w:tcW w:type="dxa" w:w="5112"/>
            <w:vAlign w:val="center"/>
          </w:tcPr>
          <w:p>
            <w:pPr>
              <w:jc w:val="center"/>
            </w:pPr>
            <w:r>
              <w:rPr>
                <w:rFonts w:ascii="Times New Roman" w:hAnsi="Times New Roman"/>
                <w:sz w:val="19"/>
              </w:rPr>
              <w:t>Supply</w:t>
            </w:r>
          </w:p>
        </w:tc>
        <w:tc>
          <w:tcPr>
            <w:tcW w:type="dxa" w:w="5112"/>
            <w:vAlign w:val="center"/>
          </w:tcPr>
          <w:p>
            <w:pPr>
              <w:jc w:val="center"/>
            </w:pPr>
            <w:r>
              <w:rPr>
                <w:rFonts w:ascii="Times New Roman" w:hAnsi="Times New Roman"/>
                <w:sz w:val="19"/>
              </w:rPr>
              <w:t>9 V DC nominal</w:t>
            </w:r>
          </w:p>
        </w:tc>
      </w:tr>
      <w:tr>
        <w:tc>
          <w:tcPr>
            <w:tcW w:type="dxa" w:w="5112"/>
            <w:vAlign w:val="center"/>
          </w:tcPr>
          <w:p>
            <w:pPr>
              <w:jc w:val="center"/>
            </w:pPr>
            <w:r>
              <w:rPr>
                <w:rFonts w:ascii="Times New Roman" w:hAnsi="Times New Roman"/>
                <w:sz w:val="19"/>
              </w:rPr>
              <w:t>Signal type</w:t>
            </w:r>
          </w:p>
        </w:tc>
        <w:tc>
          <w:tcPr>
            <w:tcW w:type="dxa" w:w="5112"/>
            <w:vAlign w:val="center"/>
          </w:tcPr>
          <w:p>
            <w:pPr>
              <w:jc w:val="center"/>
            </w:pPr>
            <w:r>
              <w:rPr>
                <w:rFonts w:ascii="Times New Roman" w:hAnsi="Times New Roman"/>
                <w:sz w:val="19"/>
              </w:rPr>
              <w:t>Small-signal sine wave</w:t>
            </w:r>
          </w:p>
        </w:tc>
      </w:tr>
      <w:tr>
        <w:tc>
          <w:tcPr>
            <w:tcW w:type="dxa" w:w="5112"/>
            <w:vAlign w:val="center"/>
          </w:tcPr>
          <w:p>
            <w:pPr>
              <w:jc w:val="center"/>
            </w:pPr>
            <w:r>
              <w:rPr>
                <w:rFonts w:ascii="Times New Roman" w:hAnsi="Times New Roman"/>
                <w:sz w:val="19"/>
              </w:rPr>
              <w:t>Target use</w:t>
            </w:r>
          </w:p>
        </w:tc>
        <w:tc>
          <w:tcPr>
            <w:tcW w:type="dxa" w:w="5112"/>
            <w:vAlign w:val="center"/>
          </w:tcPr>
          <w:p>
            <w:pPr>
              <w:jc w:val="center"/>
            </w:pPr>
            <w:r>
              <w:rPr>
                <w:rFonts w:ascii="Times New Roman" w:hAnsi="Times New Roman"/>
                <w:sz w:val="19"/>
              </w:rPr>
              <w:t>Audio / low-frequency demonstration</w:t>
            </w:r>
          </w:p>
        </w:tc>
      </w:tr>
      <w:tr>
        <w:tc>
          <w:tcPr>
            <w:tcW w:type="dxa" w:w="5112"/>
            <w:vAlign w:val="center"/>
          </w:tcPr>
          <w:p>
            <w:pPr>
              <w:jc w:val="center"/>
            </w:pPr>
            <w:r>
              <w:rPr>
                <w:rFonts w:ascii="Times New Roman" w:hAnsi="Times New Roman"/>
                <w:sz w:val="19"/>
              </w:rPr>
              <w:t>PCB technology</w:t>
            </w:r>
          </w:p>
        </w:tc>
        <w:tc>
          <w:tcPr>
            <w:tcW w:type="dxa" w:w="5112"/>
            <w:vAlign w:val="center"/>
          </w:tcPr>
          <w:p>
            <w:pPr>
              <w:jc w:val="center"/>
            </w:pPr>
            <w:r>
              <w:rPr>
                <w:rFonts w:ascii="Times New Roman" w:hAnsi="Times New Roman"/>
                <w:sz w:val="19"/>
              </w:rPr>
              <w:t>FR-4, 1-layer copper prototype</w:t>
            </w:r>
          </w:p>
        </w:tc>
      </w:tr>
      <w:tr>
        <w:tc>
          <w:tcPr>
            <w:tcW w:type="dxa" w:w="5112"/>
            <w:vAlign w:val="center"/>
          </w:tcPr>
          <w:p>
            <w:pPr>
              <w:jc w:val="center"/>
            </w:pPr>
            <w:r>
              <w:rPr>
                <w:rFonts w:ascii="Times New Roman" w:hAnsi="Times New Roman"/>
                <w:sz w:val="19"/>
              </w:rPr>
              <w:t>Copper</w:t>
            </w:r>
          </w:p>
        </w:tc>
        <w:tc>
          <w:tcPr>
            <w:tcW w:type="dxa" w:w="5112"/>
            <w:vAlign w:val="center"/>
          </w:tcPr>
          <w:p>
            <w:pPr>
              <w:jc w:val="center"/>
            </w:pPr>
            <w:r>
              <w:rPr>
                <w:rFonts w:ascii="Times New Roman" w:hAnsi="Times New Roman"/>
                <w:sz w:val="19"/>
              </w:rPr>
              <w:t>1 oz nominal</w:t>
            </w:r>
          </w:p>
        </w:tc>
      </w:tr>
      <w:tr>
        <w:tc>
          <w:tcPr>
            <w:tcW w:type="dxa" w:w="5112"/>
            <w:vAlign w:val="center"/>
          </w:tcPr>
          <w:p>
            <w:pPr>
              <w:jc w:val="center"/>
            </w:pPr>
            <w:r>
              <w:rPr>
                <w:rFonts w:ascii="Times New Roman" w:hAnsi="Times New Roman"/>
                <w:sz w:val="19"/>
              </w:rPr>
              <w:t>Minimum track width</w:t>
            </w:r>
          </w:p>
        </w:tc>
        <w:tc>
          <w:tcPr>
            <w:tcW w:type="dxa" w:w="5112"/>
            <w:vAlign w:val="center"/>
          </w:tcPr>
          <w:p>
            <w:pPr>
              <w:jc w:val="center"/>
            </w:pPr>
            <w:r>
              <w:rPr>
                <w:rFonts w:ascii="Times New Roman" w:hAnsi="Times New Roman"/>
                <w:sz w:val="19"/>
              </w:rPr>
              <w:t>0.50 mm signal; 0.80–1.00 mm supply</w:t>
            </w:r>
          </w:p>
        </w:tc>
      </w:tr>
      <w:tr>
        <w:tc>
          <w:tcPr>
            <w:tcW w:type="dxa" w:w="5112"/>
            <w:vAlign w:val="center"/>
          </w:tcPr>
          <w:p>
            <w:pPr>
              <w:jc w:val="center"/>
            </w:pPr>
            <w:r>
              <w:rPr>
                <w:rFonts w:ascii="Times New Roman" w:hAnsi="Times New Roman"/>
                <w:sz w:val="19"/>
              </w:rPr>
              <w:t>Suggested clearance</w:t>
            </w:r>
          </w:p>
        </w:tc>
        <w:tc>
          <w:tcPr>
            <w:tcW w:type="dxa" w:w="5112"/>
            <w:vAlign w:val="center"/>
          </w:tcPr>
          <w:p>
            <w:pPr>
              <w:jc w:val="center"/>
            </w:pPr>
            <w:r>
              <w:rPr>
                <w:rFonts w:ascii="Times New Roman" w:hAnsi="Times New Roman"/>
                <w:sz w:val="19"/>
              </w:rPr>
              <w:t>0.25 mm or greater</w:t>
            </w:r>
          </w:p>
        </w:tc>
      </w:tr>
    </w:tbl>
    <w:p>
      <w:r>
        <w:br w:type="page"/>
      </w:r>
    </w:p>
    <w:p>
      <w:pPr>
        <w:pStyle w:val="Heading1"/>
      </w:pPr>
      <w:r>
        <w:t>3. Schematic Capture and Footprint Assignment</w:t>
      </w:r>
    </w:p>
    <w:p>
      <w:pPr>
        <w:pStyle w:val="Heading1"/>
      </w:pPr>
      <w:r>
        <w:t>3.1 Schematic Workflow</w:t>
      </w:r>
    </w:p>
    <w:p>
      <w:pPr>
        <w:jc w:val="both"/>
      </w:pPr>
      <w:r>
        <w:t>The schematic is first entered in KiCad Schematic Editor. Each component receives a reference designator and value. Net labels are used where useful, especially for VCC, GND, INPUT and OUTPUT. After the schematic is electrically complete, footprints are assigned according to component package and the intended assembly method.</w:t>
      </w:r>
    </w:p>
    <w:p>
      <w:pPr>
        <w:pStyle w:val="ListBullet"/>
      </w:pPr>
      <w:r>
        <w:t>Place Q1 at the center of the amplifier signal path.</w:t>
      </w:r>
    </w:p>
    <w:p>
      <w:pPr>
        <w:pStyle w:val="ListBullet"/>
      </w:pPr>
      <w:r>
        <w:t>Use R1/R2 close to the base node to reduce the length of the bias network.</w:t>
      </w:r>
    </w:p>
    <w:p>
      <w:pPr>
        <w:pStyle w:val="ListBullet"/>
      </w:pPr>
      <w:r>
        <w:t>Keep C1 close to the transistor base for a short input path.</w:t>
      </w:r>
    </w:p>
    <w:p>
      <w:pPr>
        <w:pStyle w:val="ListBullet"/>
      </w:pPr>
      <w:r>
        <w:t>Place RC close to Q1 collector and the supply rail.</w:t>
      </w:r>
    </w:p>
    <w:p>
      <w:pPr>
        <w:pStyle w:val="ListBullet"/>
      </w:pPr>
      <w:r>
        <w:t>Place RE and C3 near the emitter node.</w:t>
      </w:r>
    </w:p>
    <w:p>
      <w:pPr>
        <w:pStyle w:val="ListBullet"/>
      </w:pPr>
      <w:r>
        <w:t>Place J1, J2 and J3 at the board edge for easy probing and wiring.</w:t>
      </w:r>
    </w:p>
    <w:p>
      <w:pPr>
        <w:pStyle w:val="Heading1"/>
      </w:pPr>
      <w:r>
        <w:t>3.2 Net Connectivity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Pr>
                <w:rFonts w:ascii="Times New Roman" w:hAnsi="Times New Roman"/>
                <w:b/>
                <w:sz w:val="19"/>
              </w:rPr>
              <w:t>Net</w:t>
            </w:r>
          </w:p>
        </w:tc>
        <w:tc>
          <w:tcPr>
            <w:tcW w:type="dxa" w:w="3408"/>
            <w:vAlign w:val="center"/>
          </w:tcPr>
          <w:p>
            <w:pPr>
              <w:jc w:val="center"/>
            </w:pPr>
            <w:r>
              <w:rPr>
                <w:rFonts w:ascii="Times New Roman" w:hAnsi="Times New Roman"/>
                <w:b/>
                <w:sz w:val="19"/>
              </w:rPr>
              <w:t>Main connections</w:t>
            </w:r>
          </w:p>
        </w:tc>
        <w:tc>
          <w:tcPr>
            <w:tcW w:type="dxa" w:w="3408"/>
            <w:vAlign w:val="center"/>
          </w:tcPr>
          <w:p>
            <w:pPr>
              <w:jc w:val="center"/>
            </w:pPr>
            <w:r>
              <w:rPr>
                <w:rFonts w:ascii="Times New Roman" w:hAnsi="Times New Roman"/>
                <w:b/>
                <w:sz w:val="19"/>
              </w:rPr>
              <w:t>Purpose</w:t>
            </w:r>
          </w:p>
        </w:tc>
      </w:tr>
      <w:tr>
        <w:tc>
          <w:tcPr>
            <w:tcW w:type="dxa" w:w="3408"/>
            <w:vAlign w:val="center"/>
          </w:tcPr>
          <w:p>
            <w:pPr>
              <w:jc w:val="center"/>
            </w:pPr>
            <w:r>
              <w:rPr>
                <w:rFonts w:ascii="Times New Roman" w:hAnsi="Times New Roman"/>
                <w:sz w:val="19"/>
              </w:rPr>
              <w:t>VCC</w:t>
            </w:r>
          </w:p>
        </w:tc>
        <w:tc>
          <w:tcPr>
            <w:tcW w:type="dxa" w:w="3408"/>
            <w:vAlign w:val="center"/>
          </w:tcPr>
          <w:p>
            <w:pPr>
              <w:jc w:val="center"/>
            </w:pPr>
            <w:r>
              <w:rPr>
                <w:rFonts w:ascii="Times New Roman" w:hAnsi="Times New Roman"/>
                <w:sz w:val="19"/>
              </w:rPr>
              <w:t>J3+, RC, R1</w:t>
            </w:r>
          </w:p>
        </w:tc>
        <w:tc>
          <w:tcPr>
            <w:tcW w:type="dxa" w:w="3408"/>
            <w:vAlign w:val="center"/>
          </w:tcPr>
          <w:p>
            <w:pPr>
              <w:jc w:val="center"/>
            </w:pPr>
            <w:r>
              <w:rPr>
                <w:rFonts w:ascii="Times New Roman" w:hAnsi="Times New Roman"/>
                <w:sz w:val="19"/>
              </w:rPr>
              <w:t>DC supply</w:t>
            </w:r>
          </w:p>
        </w:tc>
      </w:tr>
      <w:tr>
        <w:tc>
          <w:tcPr>
            <w:tcW w:type="dxa" w:w="3408"/>
            <w:vAlign w:val="center"/>
          </w:tcPr>
          <w:p>
            <w:pPr>
              <w:jc w:val="center"/>
            </w:pPr>
            <w:r>
              <w:rPr>
                <w:rFonts w:ascii="Times New Roman" w:hAnsi="Times New Roman"/>
                <w:sz w:val="19"/>
              </w:rPr>
              <w:t>GND</w:t>
            </w:r>
          </w:p>
        </w:tc>
        <w:tc>
          <w:tcPr>
            <w:tcW w:type="dxa" w:w="3408"/>
            <w:vAlign w:val="center"/>
          </w:tcPr>
          <w:p>
            <w:pPr>
              <w:jc w:val="center"/>
            </w:pPr>
            <w:r>
              <w:rPr>
                <w:rFonts w:ascii="Times New Roman" w:hAnsi="Times New Roman"/>
                <w:sz w:val="19"/>
              </w:rPr>
              <w:t>J3−, R2, RE return, C3−</w:t>
            </w:r>
          </w:p>
        </w:tc>
        <w:tc>
          <w:tcPr>
            <w:tcW w:type="dxa" w:w="3408"/>
            <w:vAlign w:val="center"/>
          </w:tcPr>
          <w:p>
            <w:pPr>
              <w:jc w:val="center"/>
            </w:pPr>
            <w:r>
              <w:rPr>
                <w:rFonts w:ascii="Times New Roman" w:hAnsi="Times New Roman"/>
                <w:sz w:val="19"/>
              </w:rPr>
              <w:t>Reference/return</w:t>
            </w:r>
          </w:p>
        </w:tc>
      </w:tr>
      <w:tr>
        <w:tc>
          <w:tcPr>
            <w:tcW w:type="dxa" w:w="3408"/>
            <w:vAlign w:val="center"/>
          </w:tcPr>
          <w:p>
            <w:pPr>
              <w:jc w:val="center"/>
            </w:pPr>
            <w:r>
              <w:rPr>
                <w:rFonts w:ascii="Times New Roman" w:hAnsi="Times New Roman"/>
                <w:sz w:val="19"/>
              </w:rPr>
              <w:t>VIN</w:t>
            </w:r>
          </w:p>
        </w:tc>
        <w:tc>
          <w:tcPr>
            <w:tcW w:type="dxa" w:w="3408"/>
            <w:vAlign w:val="center"/>
          </w:tcPr>
          <w:p>
            <w:pPr>
              <w:jc w:val="center"/>
            </w:pPr>
            <w:r>
              <w:rPr>
                <w:rFonts w:ascii="Times New Roman" w:hAnsi="Times New Roman"/>
                <w:sz w:val="19"/>
              </w:rPr>
              <w:t>J1+, C1 input</w:t>
            </w:r>
          </w:p>
        </w:tc>
        <w:tc>
          <w:tcPr>
            <w:tcW w:type="dxa" w:w="3408"/>
            <w:vAlign w:val="center"/>
          </w:tcPr>
          <w:p>
            <w:pPr>
              <w:jc w:val="center"/>
            </w:pPr>
            <w:r>
              <w:rPr>
                <w:rFonts w:ascii="Times New Roman" w:hAnsi="Times New Roman"/>
                <w:sz w:val="19"/>
              </w:rPr>
              <w:t>Amplifier input</w:t>
            </w:r>
          </w:p>
        </w:tc>
      </w:tr>
      <w:tr>
        <w:tc>
          <w:tcPr>
            <w:tcW w:type="dxa" w:w="3408"/>
            <w:vAlign w:val="center"/>
          </w:tcPr>
          <w:p>
            <w:pPr>
              <w:jc w:val="center"/>
            </w:pPr>
            <w:r>
              <w:rPr>
                <w:rFonts w:ascii="Times New Roman" w:hAnsi="Times New Roman"/>
                <w:sz w:val="19"/>
              </w:rPr>
              <w:t>BASE</w:t>
            </w:r>
          </w:p>
        </w:tc>
        <w:tc>
          <w:tcPr>
            <w:tcW w:type="dxa" w:w="3408"/>
            <w:vAlign w:val="center"/>
          </w:tcPr>
          <w:p>
            <w:pPr>
              <w:jc w:val="center"/>
            </w:pPr>
            <w:r>
              <w:rPr>
                <w:rFonts w:ascii="Times New Roman" w:hAnsi="Times New Roman"/>
                <w:sz w:val="19"/>
              </w:rPr>
              <w:t>C1, R1, R2, Q1 base</w:t>
            </w:r>
          </w:p>
        </w:tc>
        <w:tc>
          <w:tcPr>
            <w:tcW w:type="dxa" w:w="3408"/>
            <w:vAlign w:val="center"/>
          </w:tcPr>
          <w:p>
            <w:pPr>
              <w:jc w:val="center"/>
            </w:pPr>
            <w:r>
              <w:rPr>
                <w:rFonts w:ascii="Times New Roman" w:hAnsi="Times New Roman"/>
                <w:sz w:val="19"/>
              </w:rPr>
              <w:t>Bias/input node</w:t>
            </w:r>
          </w:p>
        </w:tc>
      </w:tr>
      <w:tr>
        <w:tc>
          <w:tcPr>
            <w:tcW w:type="dxa" w:w="3408"/>
            <w:vAlign w:val="center"/>
          </w:tcPr>
          <w:p>
            <w:pPr>
              <w:jc w:val="center"/>
            </w:pPr>
            <w:r>
              <w:rPr>
                <w:rFonts w:ascii="Times New Roman" w:hAnsi="Times New Roman"/>
                <w:sz w:val="19"/>
              </w:rPr>
              <w:t>COLLECTOR</w:t>
            </w:r>
          </w:p>
        </w:tc>
        <w:tc>
          <w:tcPr>
            <w:tcW w:type="dxa" w:w="3408"/>
            <w:vAlign w:val="center"/>
          </w:tcPr>
          <w:p>
            <w:pPr>
              <w:jc w:val="center"/>
            </w:pPr>
            <w:r>
              <w:rPr>
                <w:rFonts w:ascii="Times New Roman" w:hAnsi="Times New Roman"/>
                <w:sz w:val="19"/>
              </w:rPr>
              <w:t>Q1 collector, RC, C2</w:t>
            </w:r>
          </w:p>
        </w:tc>
        <w:tc>
          <w:tcPr>
            <w:tcW w:type="dxa" w:w="3408"/>
            <w:vAlign w:val="center"/>
          </w:tcPr>
          <w:p>
            <w:pPr>
              <w:jc w:val="center"/>
            </w:pPr>
            <w:r>
              <w:rPr>
                <w:rFonts w:ascii="Times New Roman" w:hAnsi="Times New Roman"/>
                <w:sz w:val="19"/>
              </w:rPr>
              <w:t>Amplified signal node</w:t>
            </w:r>
          </w:p>
        </w:tc>
      </w:tr>
      <w:tr>
        <w:tc>
          <w:tcPr>
            <w:tcW w:type="dxa" w:w="3408"/>
            <w:vAlign w:val="center"/>
          </w:tcPr>
          <w:p>
            <w:pPr>
              <w:jc w:val="center"/>
            </w:pPr>
            <w:r>
              <w:rPr>
                <w:rFonts w:ascii="Times New Roman" w:hAnsi="Times New Roman"/>
                <w:sz w:val="19"/>
              </w:rPr>
              <w:t>EMITTER</w:t>
            </w:r>
          </w:p>
        </w:tc>
        <w:tc>
          <w:tcPr>
            <w:tcW w:type="dxa" w:w="3408"/>
            <w:vAlign w:val="center"/>
          </w:tcPr>
          <w:p>
            <w:pPr>
              <w:jc w:val="center"/>
            </w:pPr>
            <w:r>
              <w:rPr>
                <w:rFonts w:ascii="Times New Roman" w:hAnsi="Times New Roman"/>
                <w:sz w:val="19"/>
              </w:rPr>
              <w:t>Q1 emitter, RE, C3</w:t>
            </w:r>
          </w:p>
        </w:tc>
        <w:tc>
          <w:tcPr>
            <w:tcW w:type="dxa" w:w="3408"/>
            <w:vAlign w:val="center"/>
          </w:tcPr>
          <w:p>
            <w:pPr>
              <w:jc w:val="center"/>
            </w:pPr>
            <w:r>
              <w:rPr>
                <w:rFonts w:ascii="Times New Roman" w:hAnsi="Times New Roman"/>
                <w:sz w:val="19"/>
              </w:rPr>
              <w:t>Bias stabilization</w:t>
            </w:r>
          </w:p>
        </w:tc>
      </w:tr>
      <w:tr>
        <w:tc>
          <w:tcPr>
            <w:tcW w:type="dxa" w:w="3408"/>
            <w:vAlign w:val="center"/>
          </w:tcPr>
          <w:p>
            <w:pPr>
              <w:jc w:val="center"/>
            </w:pPr>
            <w:r>
              <w:rPr>
                <w:rFonts w:ascii="Times New Roman" w:hAnsi="Times New Roman"/>
                <w:sz w:val="19"/>
              </w:rPr>
              <w:t>VOUT</w:t>
            </w:r>
          </w:p>
        </w:tc>
        <w:tc>
          <w:tcPr>
            <w:tcW w:type="dxa" w:w="3408"/>
            <w:vAlign w:val="center"/>
          </w:tcPr>
          <w:p>
            <w:pPr>
              <w:jc w:val="center"/>
            </w:pPr>
            <w:r>
              <w:rPr>
                <w:rFonts w:ascii="Times New Roman" w:hAnsi="Times New Roman"/>
                <w:sz w:val="19"/>
              </w:rPr>
              <w:t>C2, J2 output</w:t>
            </w:r>
          </w:p>
        </w:tc>
        <w:tc>
          <w:tcPr>
            <w:tcW w:type="dxa" w:w="3408"/>
            <w:vAlign w:val="center"/>
          </w:tcPr>
          <w:p>
            <w:pPr>
              <w:jc w:val="center"/>
            </w:pPr>
            <w:r>
              <w:rPr>
                <w:rFonts w:ascii="Times New Roman" w:hAnsi="Times New Roman"/>
                <w:sz w:val="19"/>
              </w:rPr>
              <w:t>Amplifier output</w:t>
            </w:r>
          </w:p>
        </w:tc>
      </w:tr>
    </w:tbl>
    <w:p>
      <w:pPr>
        <w:pStyle w:val="Heading1"/>
      </w:pPr>
      <w:r>
        <w:t>3.3 Footprint Rules</w:t>
      </w:r>
    </w:p>
    <w:p>
      <w:pPr>
        <w:jc w:val="both"/>
      </w:pPr>
      <w:r>
        <w:t>Through-hole footprints are selected because they are inexpensive, easy to solder manually and suitable for an academic prototype. Resistor footprints use standard axial spacing, while electrolytic capacitors use radial footprints with clearly differentiated positive and negative pads. Q1 must use the correct BC547 footprint or an equivalent footprint matching the exact transistor pin arrangement purchased.</w:t>
      </w:r>
    </w:p>
    <w:p>
      <w:pPr>
        <w:pStyle w:val="Heading1"/>
      </w:pPr>
      <w:r>
        <w:t>3.4 Electrical Verification</w:t>
      </w:r>
    </w:p>
    <w:p>
      <w:pPr>
        <w:jc w:val="both"/>
      </w:pPr>
      <w:r>
        <w:t>Before PCB layout, the schematic should pass the electrical rules checker. Any unconnected pins, duplicated references, missing footprints or accidental power connections must be corrected before transferring the design to the PCB editor. This stage prevents many layout errors from becoming physical board errors.</w:t>
      </w:r>
    </w:p>
    <w:p>
      <w:r>
        <w:br w:type="page"/>
      </w:r>
    </w:p>
    <w:p>
      <w:pPr>
        <w:pStyle w:val="Heading1"/>
      </w:pPr>
      <w:r>
        <w:t>4. PCB Board Setup and Component Placement</w:t>
      </w:r>
    </w:p>
    <w:p>
      <w:pPr>
        <w:pStyle w:val="Heading1"/>
      </w:pPr>
      <w:r>
        <w:t>4.1 Board Outline</w:t>
      </w:r>
    </w:p>
    <w:p>
      <w:pPr>
        <w:jc w:val="both"/>
      </w:pPr>
      <w:r>
        <w:t>A compact rectangular outline of approximately 60 mm × 40 mm is suitable for the proposed circuit. The exact dimensions may be changed to match the fabrication service. The board edge is drawn on the fabrication/board-outline layer and must form a closed profile.</w:t>
      </w:r>
    </w:p>
    <w:p>
      <w:pPr>
        <w:pStyle w:val="Heading1"/>
      </w:pPr>
      <w:r>
        <w:t>4.2 Placement Strategy</w:t>
      </w:r>
    </w:p>
    <w:p>
      <w:pPr>
        <w:jc w:val="both"/>
      </w:pPr>
      <w:r>
        <w:t>Component placement strongly influences analog performance. The input connector is kept away from the output connector where practical, and the transistor is placed near the center so the input, collector and emitter networks remain compact. Power entry is placed near the supply-side circuitry. Components are aligned consistently to improve readability and assembly.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Pr>
                <w:rFonts w:ascii="Times New Roman" w:hAnsi="Times New Roman"/>
                <w:b/>
                <w:sz w:val="19"/>
              </w:rPr>
              <w:t>Placement item</w:t>
            </w:r>
          </w:p>
        </w:tc>
        <w:tc>
          <w:tcPr>
            <w:tcW w:type="dxa" w:w="5112"/>
            <w:vAlign w:val="center"/>
          </w:tcPr>
          <w:p>
            <w:pPr>
              <w:jc w:val="center"/>
            </w:pPr>
            <w:r>
              <w:rPr>
                <w:rFonts w:ascii="Times New Roman" w:hAnsi="Times New Roman"/>
                <w:b/>
                <w:sz w:val="19"/>
              </w:rPr>
              <w:t>Recommended position / rule</w:t>
            </w:r>
          </w:p>
        </w:tc>
      </w:tr>
      <w:tr>
        <w:tc>
          <w:tcPr>
            <w:tcW w:type="dxa" w:w="5112"/>
            <w:vAlign w:val="center"/>
          </w:tcPr>
          <w:p>
            <w:pPr>
              <w:jc w:val="center"/>
            </w:pPr>
            <w:r>
              <w:rPr>
                <w:rFonts w:ascii="Times New Roman" w:hAnsi="Times New Roman"/>
                <w:sz w:val="19"/>
              </w:rPr>
              <w:t>J1 Input</w:t>
            </w:r>
          </w:p>
        </w:tc>
        <w:tc>
          <w:tcPr>
            <w:tcW w:type="dxa" w:w="5112"/>
            <w:vAlign w:val="center"/>
          </w:tcPr>
          <w:p>
            <w:pPr>
              <w:jc w:val="center"/>
            </w:pPr>
            <w:r>
              <w:rPr>
                <w:rFonts w:ascii="Times New Roman" w:hAnsi="Times New Roman"/>
                <w:sz w:val="19"/>
              </w:rPr>
              <w:t>Left board edge</w:t>
            </w:r>
          </w:p>
        </w:tc>
      </w:tr>
      <w:tr>
        <w:tc>
          <w:tcPr>
            <w:tcW w:type="dxa" w:w="5112"/>
            <w:vAlign w:val="center"/>
          </w:tcPr>
          <w:p>
            <w:pPr>
              <w:jc w:val="center"/>
            </w:pPr>
            <w:r>
              <w:rPr>
                <w:rFonts w:ascii="Times New Roman" w:hAnsi="Times New Roman"/>
                <w:sz w:val="19"/>
              </w:rPr>
              <w:t>Q1</w:t>
            </w:r>
          </w:p>
        </w:tc>
        <w:tc>
          <w:tcPr>
            <w:tcW w:type="dxa" w:w="5112"/>
            <w:vAlign w:val="center"/>
          </w:tcPr>
          <w:p>
            <w:pPr>
              <w:jc w:val="center"/>
            </w:pPr>
            <w:r>
              <w:rPr>
                <w:rFonts w:ascii="Times New Roman" w:hAnsi="Times New Roman"/>
                <w:sz w:val="19"/>
              </w:rPr>
              <w:t>Central area</w:t>
            </w:r>
          </w:p>
        </w:tc>
      </w:tr>
      <w:tr>
        <w:tc>
          <w:tcPr>
            <w:tcW w:type="dxa" w:w="5112"/>
            <w:vAlign w:val="center"/>
          </w:tcPr>
          <w:p>
            <w:pPr>
              <w:jc w:val="center"/>
            </w:pPr>
            <w:r>
              <w:rPr>
                <w:rFonts w:ascii="Times New Roman" w:hAnsi="Times New Roman"/>
                <w:sz w:val="19"/>
              </w:rPr>
              <w:t>R1/R2</w:t>
            </w:r>
          </w:p>
        </w:tc>
        <w:tc>
          <w:tcPr>
            <w:tcW w:type="dxa" w:w="5112"/>
            <w:vAlign w:val="center"/>
          </w:tcPr>
          <w:p>
            <w:pPr>
              <w:jc w:val="center"/>
            </w:pPr>
            <w:r>
              <w:rPr>
                <w:rFonts w:ascii="Times New Roman" w:hAnsi="Times New Roman"/>
                <w:sz w:val="19"/>
              </w:rPr>
              <w:t>Near Q1 base</w:t>
            </w:r>
          </w:p>
        </w:tc>
      </w:tr>
      <w:tr>
        <w:tc>
          <w:tcPr>
            <w:tcW w:type="dxa" w:w="5112"/>
            <w:vAlign w:val="center"/>
          </w:tcPr>
          <w:p>
            <w:pPr>
              <w:jc w:val="center"/>
            </w:pPr>
            <w:r>
              <w:rPr>
                <w:rFonts w:ascii="Times New Roman" w:hAnsi="Times New Roman"/>
                <w:sz w:val="19"/>
              </w:rPr>
              <w:t>C1</w:t>
            </w:r>
          </w:p>
        </w:tc>
        <w:tc>
          <w:tcPr>
            <w:tcW w:type="dxa" w:w="5112"/>
            <w:vAlign w:val="center"/>
          </w:tcPr>
          <w:p>
            <w:pPr>
              <w:jc w:val="center"/>
            </w:pPr>
            <w:r>
              <w:rPr>
                <w:rFonts w:ascii="Times New Roman" w:hAnsi="Times New Roman"/>
                <w:sz w:val="19"/>
              </w:rPr>
              <w:t>Between J1 and Q1 base</w:t>
            </w:r>
          </w:p>
        </w:tc>
      </w:tr>
      <w:tr>
        <w:tc>
          <w:tcPr>
            <w:tcW w:type="dxa" w:w="5112"/>
            <w:vAlign w:val="center"/>
          </w:tcPr>
          <w:p>
            <w:pPr>
              <w:jc w:val="center"/>
            </w:pPr>
            <w:r>
              <w:rPr>
                <w:rFonts w:ascii="Times New Roman" w:hAnsi="Times New Roman"/>
                <w:sz w:val="19"/>
              </w:rPr>
              <w:t>RC</w:t>
            </w:r>
          </w:p>
        </w:tc>
        <w:tc>
          <w:tcPr>
            <w:tcW w:type="dxa" w:w="5112"/>
            <w:vAlign w:val="center"/>
          </w:tcPr>
          <w:p>
            <w:pPr>
              <w:jc w:val="center"/>
            </w:pPr>
            <w:r>
              <w:rPr>
                <w:rFonts w:ascii="Times New Roman" w:hAnsi="Times New Roman"/>
                <w:sz w:val="19"/>
              </w:rPr>
              <w:t>Between VCC and Q1 collector</w:t>
            </w:r>
          </w:p>
        </w:tc>
      </w:tr>
      <w:tr>
        <w:tc>
          <w:tcPr>
            <w:tcW w:type="dxa" w:w="5112"/>
            <w:vAlign w:val="center"/>
          </w:tcPr>
          <w:p>
            <w:pPr>
              <w:jc w:val="center"/>
            </w:pPr>
            <w:r>
              <w:rPr>
                <w:rFonts w:ascii="Times New Roman" w:hAnsi="Times New Roman"/>
                <w:sz w:val="19"/>
              </w:rPr>
              <w:t>RE/C3</w:t>
            </w:r>
          </w:p>
        </w:tc>
        <w:tc>
          <w:tcPr>
            <w:tcW w:type="dxa" w:w="5112"/>
            <w:vAlign w:val="center"/>
          </w:tcPr>
          <w:p>
            <w:pPr>
              <w:jc w:val="center"/>
            </w:pPr>
            <w:r>
              <w:rPr>
                <w:rFonts w:ascii="Times New Roman" w:hAnsi="Times New Roman"/>
                <w:sz w:val="19"/>
              </w:rPr>
              <w:t>Near Q1 emitter</w:t>
            </w:r>
          </w:p>
        </w:tc>
      </w:tr>
      <w:tr>
        <w:tc>
          <w:tcPr>
            <w:tcW w:type="dxa" w:w="5112"/>
            <w:vAlign w:val="center"/>
          </w:tcPr>
          <w:p>
            <w:pPr>
              <w:jc w:val="center"/>
            </w:pPr>
            <w:r>
              <w:rPr>
                <w:rFonts w:ascii="Times New Roman" w:hAnsi="Times New Roman"/>
                <w:sz w:val="19"/>
              </w:rPr>
              <w:t>C2</w:t>
            </w:r>
          </w:p>
        </w:tc>
        <w:tc>
          <w:tcPr>
            <w:tcW w:type="dxa" w:w="5112"/>
            <w:vAlign w:val="center"/>
          </w:tcPr>
          <w:p>
            <w:pPr>
              <w:jc w:val="center"/>
            </w:pPr>
            <w:r>
              <w:rPr>
                <w:rFonts w:ascii="Times New Roman" w:hAnsi="Times New Roman"/>
                <w:sz w:val="19"/>
              </w:rPr>
              <w:t>Between collector and J2</w:t>
            </w:r>
          </w:p>
        </w:tc>
      </w:tr>
      <w:tr>
        <w:tc>
          <w:tcPr>
            <w:tcW w:type="dxa" w:w="5112"/>
            <w:vAlign w:val="center"/>
          </w:tcPr>
          <w:p>
            <w:pPr>
              <w:jc w:val="center"/>
            </w:pPr>
            <w:r>
              <w:rPr>
                <w:rFonts w:ascii="Times New Roman" w:hAnsi="Times New Roman"/>
                <w:sz w:val="19"/>
              </w:rPr>
              <w:t>J2 Output</w:t>
            </w:r>
          </w:p>
        </w:tc>
        <w:tc>
          <w:tcPr>
            <w:tcW w:type="dxa" w:w="5112"/>
            <w:vAlign w:val="center"/>
          </w:tcPr>
          <w:p>
            <w:pPr>
              <w:jc w:val="center"/>
            </w:pPr>
            <w:r>
              <w:rPr>
                <w:rFonts w:ascii="Times New Roman" w:hAnsi="Times New Roman"/>
                <w:sz w:val="19"/>
              </w:rPr>
              <w:t>Right board edge</w:t>
            </w:r>
          </w:p>
        </w:tc>
      </w:tr>
      <w:tr>
        <w:tc>
          <w:tcPr>
            <w:tcW w:type="dxa" w:w="5112"/>
            <w:vAlign w:val="center"/>
          </w:tcPr>
          <w:p>
            <w:pPr>
              <w:jc w:val="center"/>
            </w:pPr>
            <w:r>
              <w:rPr>
                <w:rFonts w:ascii="Times New Roman" w:hAnsi="Times New Roman"/>
                <w:sz w:val="19"/>
              </w:rPr>
              <w:t>J3 Power</w:t>
            </w:r>
          </w:p>
        </w:tc>
        <w:tc>
          <w:tcPr>
            <w:tcW w:type="dxa" w:w="5112"/>
            <w:vAlign w:val="center"/>
          </w:tcPr>
          <w:p>
            <w:pPr>
              <w:jc w:val="center"/>
            </w:pPr>
            <w:r>
              <w:rPr>
                <w:rFonts w:ascii="Times New Roman" w:hAnsi="Times New Roman"/>
                <w:sz w:val="19"/>
              </w:rPr>
              <w:t>Top/bottom edge near VCC/GND</w:t>
            </w:r>
          </w:p>
        </w:tc>
      </w:tr>
    </w:tbl>
    <w:p>
      <w:pPr>
        <w:pStyle w:val="Heading1"/>
      </w:pPr>
      <w:r>
        <w:t>4.3 Analog Layout Precautions</w:t>
      </w:r>
    </w:p>
    <w:p>
      <w:pPr>
        <w:pStyle w:val="ListBullet"/>
      </w:pPr>
      <w:r>
        <w:t>Avoid routing the output trace parallel to the input trace for long distances.</w:t>
      </w:r>
    </w:p>
    <w:p>
      <w:pPr>
        <w:pStyle w:val="ListBullet"/>
      </w:pPr>
      <w:r>
        <w:t>Keep the high-impedance base node physically short.</w:t>
      </w:r>
    </w:p>
    <w:p>
      <w:pPr>
        <w:pStyle w:val="ListBullet"/>
      </w:pPr>
      <w:r>
        <w:t>Use a clean ground return and avoid unnecessary loops.</w:t>
      </w:r>
    </w:p>
    <w:p>
      <w:pPr>
        <w:pStyle w:val="ListBullet"/>
      </w:pPr>
      <w:r>
        <w:t>Keep decoupling close to the power-entry/transistor supply region.</w:t>
      </w:r>
    </w:p>
    <w:p>
      <w:pPr>
        <w:pStyle w:val="ListBullet"/>
      </w:pPr>
      <w:r>
        <w:t>Provide silkscreen polarity marks for electrolytic capacitors.</w:t>
      </w:r>
    </w:p>
    <w:p>
      <w:pPr>
        <w:pStyle w:val="ListBullet"/>
      </w:pPr>
      <w:r>
        <w:t>Leave enough copper clearance around mounting holes and the board edge.</w:t>
      </w:r>
    </w:p>
    <w:p>
      <w:pPr>
        <w:pStyle w:val="Heading1"/>
      </w:pPr>
      <w:r>
        <w:t>4.4 Design Appearance</w:t>
      </w:r>
    </w:p>
    <w:p>
      <w:pPr>
        <w:jc w:val="both"/>
      </w:pPr>
      <w:r>
        <w:t>The proposed layout uses a clean educational style: reference designators are visible, connectors face outward, polarized components have obvious polarity, and the routing is organized around the signal flow from input to transistor to output.</w:t>
      </w:r>
    </w:p>
    <w:p>
      <w:r>
        <w:br w:type="page"/>
      </w:r>
    </w:p>
    <w:p>
      <w:pPr>
        <w:pStyle w:val="Heading1"/>
      </w:pPr>
      <w:r>
        <w:t>5. PCB Track Routing</w:t>
      </w:r>
    </w:p>
    <w:p>
      <w:pPr>
        <w:pStyle w:val="Heading1"/>
      </w:pPr>
      <w:r>
        <w:t>5.1 Routing Procedure</w:t>
      </w:r>
    </w:p>
    <w:p>
      <w:pPr>
        <w:jc w:val="both"/>
      </w:pPr>
      <w:r>
        <w:t>After placement, the PCB editor imports the ratsnest showing the required connections. Routing begins with critical signal nets and then proceeds to supply and ground connections. Since this is a single-layer board, traces should be arranged to avoid crossing. If an unavoidable crossing occurs in a prototype, a zero-ohm link or wire link can be considered, although the preferred final design is a completely routable PCB.</w:t>
      </w:r>
    </w:p>
    <w:p>
      <w:pPr>
        <w:pStyle w:val="Heading1"/>
      </w:pPr>
      <w:r>
        <w:t>5.2 Track Width and Clearance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Pr>
                <w:rFonts w:ascii="Times New Roman" w:hAnsi="Times New Roman"/>
                <w:b/>
                <w:sz w:val="19"/>
              </w:rPr>
              <w:t>Net class</w:t>
            </w:r>
          </w:p>
        </w:tc>
        <w:tc>
          <w:tcPr>
            <w:tcW w:type="dxa" w:w="3408"/>
            <w:vAlign w:val="center"/>
          </w:tcPr>
          <w:p>
            <w:pPr>
              <w:jc w:val="center"/>
            </w:pPr>
            <w:r>
              <w:rPr>
                <w:rFonts w:ascii="Times New Roman" w:hAnsi="Times New Roman"/>
                <w:b/>
                <w:sz w:val="19"/>
              </w:rPr>
              <w:t>Suggested width</w:t>
            </w:r>
          </w:p>
        </w:tc>
        <w:tc>
          <w:tcPr>
            <w:tcW w:type="dxa" w:w="3408"/>
            <w:vAlign w:val="center"/>
          </w:tcPr>
          <w:p>
            <w:pPr>
              <w:jc w:val="center"/>
            </w:pPr>
            <w:r>
              <w:rPr>
                <w:rFonts w:ascii="Times New Roman" w:hAnsi="Times New Roman"/>
                <w:b/>
                <w:sz w:val="19"/>
              </w:rPr>
              <w:t>Typical use</w:t>
            </w:r>
          </w:p>
        </w:tc>
      </w:tr>
      <w:tr>
        <w:tc>
          <w:tcPr>
            <w:tcW w:type="dxa" w:w="3408"/>
            <w:vAlign w:val="center"/>
          </w:tcPr>
          <w:p>
            <w:pPr>
              <w:jc w:val="center"/>
            </w:pPr>
            <w:r>
              <w:rPr>
                <w:rFonts w:ascii="Times New Roman" w:hAnsi="Times New Roman"/>
                <w:sz w:val="19"/>
              </w:rPr>
              <w:t>SIGNAL</w:t>
            </w:r>
          </w:p>
        </w:tc>
        <w:tc>
          <w:tcPr>
            <w:tcW w:type="dxa" w:w="3408"/>
            <w:vAlign w:val="center"/>
          </w:tcPr>
          <w:p>
            <w:pPr>
              <w:jc w:val="center"/>
            </w:pPr>
            <w:r>
              <w:rPr>
                <w:rFonts w:ascii="Times New Roman" w:hAnsi="Times New Roman"/>
                <w:sz w:val="19"/>
              </w:rPr>
              <w:t>0.50 mm</w:t>
            </w:r>
          </w:p>
        </w:tc>
        <w:tc>
          <w:tcPr>
            <w:tcW w:type="dxa" w:w="3408"/>
            <w:vAlign w:val="center"/>
          </w:tcPr>
          <w:p>
            <w:pPr>
              <w:jc w:val="center"/>
            </w:pPr>
            <w:r>
              <w:rPr>
                <w:rFonts w:ascii="Times New Roman" w:hAnsi="Times New Roman"/>
                <w:sz w:val="19"/>
              </w:rPr>
              <w:t>Input, base, collector, output</w:t>
            </w:r>
          </w:p>
        </w:tc>
      </w:tr>
      <w:tr>
        <w:tc>
          <w:tcPr>
            <w:tcW w:type="dxa" w:w="3408"/>
            <w:vAlign w:val="center"/>
          </w:tcPr>
          <w:p>
            <w:pPr>
              <w:jc w:val="center"/>
            </w:pPr>
            <w:r>
              <w:rPr>
                <w:rFonts w:ascii="Times New Roman" w:hAnsi="Times New Roman"/>
                <w:sz w:val="19"/>
              </w:rPr>
              <w:t>POWER</w:t>
            </w:r>
          </w:p>
        </w:tc>
        <w:tc>
          <w:tcPr>
            <w:tcW w:type="dxa" w:w="3408"/>
            <w:vAlign w:val="center"/>
          </w:tcPr>
          <w:p>
            <w:pPr>
              <w:jc w:val="center"/>
            </w:pPr>
            <w:r>
              <w:rPr>
                <w:rFonts w:ascii="Times New Roman" w:hAnsi="Times New Roman"/>
                <w:sz w:val="19"/>
              </w:rPr>
              <w:t>0.80–1.00 mm</w:t>
            </w:r>
          </w:p>
        </w:tc>
        <w:tc>
          <w:tcPr>
            <w:tcW w:type="dxa" w:w="3408"/>
            <w:vAlign w:val="center"/>
          </w:tcPr>
          <w:p>
            <w:pPr>
              <w:jc w:val="center"/>
            </w:pPr>
            <w:r>
              <w:rPr>
                <w:rFonts w:ascii="Times New Roman" w:hAnsi="Times New Roman"/>
                <w:sz w:val="19"/>
              </w:rPr>
              <w:t>VCC and main return</w:t>
            </w:r>
          </w:p>
        </w:tc>
      </w:tr>
      <w:tr>
        <w:tc>
          <w:tcPr>
            <w:tcW w:type="dxa" w:w="3408"/>
            <w:vAlign w:val="center"/>
          </w:tcPr>
          <w:p>
            <w:pPr>
              <w:jc w:val="center"/>
            </w:pPr>
            <w:r>
              <w:rPr>
                <w:rFonts w:ascii="Times New Roman" w:hAnsi="Times New Roman"/>
                <w:sz w:val="19"/>
              </w:rPr>
              <w:t>GROUND</w:t>
            </w:r>
          </w:p>
        </w:tc>
        <w:tc>
          <w:tcPr>
            <w:tcW w:type="dxa" w:w="3408"/>
            <w:vAlign w:val="center"/>
          </w:tcPr>
          <w:p>
            <w:pPr>
              <w:jc w:val="center"/>
            </w:pPr>
            <w:r>
              <w:rPr>
                <w:rFonts w:ascii="Times New Roman" w:hAnsi="Times New Roman"/>
                <w:sz w:val="19"/>
              </w:rPr>
              <w:t>0.80–1.00 mm</w:t>
            </w:r>
          </w:p>
        </w:tc>
        <w:tc>
          <w:tcPr>
            <w:tcW w:type="dxa" w:w="3408"/>
            <w:vAlign w:val="center"/>
          </w:tcPr>
          <w:p>
            <w:pPr>
              <w:jc w:val="center"/>
            </w:pPr>
            <w:r>
              <w:rPr>
                <w:rFonts w:ascii="Times New Roman" w:hAnsi="Times New Roman"/>
                <w:sz w:val="19"/>
              </w:rPr>
              <w:t>High-confidence low-impedance return</w:t>
            </w:r>
          </w:p>
        </w:tc>
      </w:tr>
      <w:tr>
        <w:tc>
          <w:tcPr>
            <w:tcW w:type="dxa" w:w="3408"/>
            <w:vAlign w:val="center"/>
          </w:tcPr>
          <w:p>
            <w:pPr>
              <w:jc w:val="center"/>
            </w:pPr>
            <w:r>
              <w:rPr>
                <w:rFonts w:ascii="Times New Roman" w:hAnsi="Times New Roman"/>
                <w:sz w:val="19"/>
              </w:rPr>
              <w:t>Clearance</w:t>
            </w:r>
          </w:p>
        </w:tc>
        <w:tc>
          <w:tcPr>
            <w:tcW w:type="dxa" w:w="3408"/>
            <w:vAlign w:val="center"/>
          </w:tcPr>
          <w:p>
            <w:pPr>
              <w:jc w:val="center"/>
            </w:pPr>
            <w:r>
              <w:rPr>
                <w:rFonts w:ascii="Times New Roman" w:hAnsi="Times New Roman"/>
                <w:sz w:val="19"/>
              </w:rPr>
              <w:t>≥0.25 mm</w:t>
            </w:r>
          </w:p>
        </w:tc>
        <w:tc>
          <w:tcPr>
            <w:tcW w:type="dxa" w:w="3408"/>
            <w:vAlign w:val="center"/>
          </w:tcPr>
          <w:p>
            <w:pPr>
              <w:jc w:val="center"/>
            </w:pPr>
            <w:r>
              <w:rPr>
                <w:rFonts w:ascii="Times New Roman" w:hAnsi="Times New Roman"/>
                <w:sz w:val="19"/>
              </w:rPr>
              <w:t>Copper-to-copper separation</w:t>
            </w:r>
          </w:p>
        </w:tc>
      </w:tr>
    </w:tbl>
    <w:p>
      <w:pPr>
        <w:pStyle w:val="Heading1"/>
      </w:pPr>
      <w:r>
        <w:t>5.3 Routing Order</w:t>
      </w:r>
    </w:p>
    <w:p>
      <w:pPr>
        <w:pStyle w:val="ListBullet"/>
      </w:pPr>
      <w:r>
        <w:t>Route the short transistor-to-resistor connections first.</w:t>
      </w:r>
    </w:p>
    <w:p>
      <w:pPr>
        <w:pStyle w:val="ListBullet"/>
      </w:pPr>
      <w:r>
        <w:t>Route the sensitive base/input network next.</w:t>
      </w:r>
    </w:p>
    <w:p>
      <w:pPr>
        <w:pStyle w:val="ListBullet"/>
      </w:pPr>
      <w:r>
        <w:t>Route the collector/output network while keeping it away from the input.</w:t>
      </w:r>
    </w:p>
    <w:p>
      <w:pPr>
        <w:pStyle w:val="ListBullet"/>
      </w:pPr>
      <w:r>
        <w:t>Route VCC with a wider track.</w:t>
      </w:r>
    </w:p>
    <w:p>
      <w:pPr>
        <w:pStyle w:val="ListBullet"/>
      </w:pPr>
      <w:r>
        <w:t>Complete the ground return with the shortest practical path.</w:t>
      </w:r>
    </w:p>
    <w:p>
      <w:pPr>
        <w:pStyle w:val="ListBullet"/>
      </w:pPr>
      <w:r>
        <w:t>Inspect every ratsnest line until all connections are physically routed.</w:t>
      </w:r>
    </w:p>
    <w:p>
      <w:pPr>
        <w:pStyle w:val="Heading1"/>
      </w:pPr>
      <w:r>
        <w:t>5.4 Ground Strategy</w:t>
      </w:r>
    </w:p>
    <w:p>
      <w:pPr>
        <w:jc w:val="both"/>
      </w:pPr>
      <w:r>
        <w:t>For a small single-stage amplifier, a wide ground trace or compact ground copper region can reduce return-path impedance. If a copper pour is used, it must be assigned to GND and checked after filling zones. The final Gerber must be inspected to ensure the intended copper region is actually included.</w:t>
      </w:r>
    </w:p>
    <w:p>
      <w:pPr>
        <w:pStyle w:val="Heading1"/>
      </w:pPr>
      <w:r>
        <w:t>5.5 Noise and Stability</w:t>
      </w:r>
    </w:p>
    <w:p>
      <w:pPr>
        <w:jc w:val="both"/>
      </w:pPr>
      <w:r>
        <w:t>Analog amplifier boards can suffer from unwanted feedback when input and output traces are placed close together. The routing therefore follows the signal direction and minimizes long parallel runs. Supply decoupling and a low-impedance return path also help prevent supply-related disturbances from entering the signal path.</w:t>
      </w:r>
    </w:p>
    <w:p>
      <w:r>
        <w:br w:type="page"/>
      </w:r>
    </w:p>
    <w:p>
      <w:pPr>
        <w:pStyle w:val="Heading1"/>
      </w:pPr>
      <w:r>
        <w:t>6. Design Rule Check and PCB Verification</w:t>
      </w:r>
    </w:p>
    <w:p>
      <w:pPr>
        <w:pStyle w:val="Heading1"/>
      </w:pPr>
      <w:r>
        <w:t>6.1 Design Rule Check (DRC)</w:t>
      </w:r>
    </w:p>
    <w:p>
      <w:pPr>
        <w:jc w:val="both"/>
      </w:pPr>
      <w:r>
        <w:t>The DRC is performed after routing and copper-zone filling. It checks geometric and electrical constraints such as track clearance, unconnected nets, board-edge violations, hole clearances and other fabrication rules. The exact values should be updated to match the PCB manufacturer's capabilities.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Pr>
                <w:rFonts w:ascii="Times New Roman" w:hAnsi="Times New Roman"/>
                <w:b/>
                <w:sz w:val="19"/>
              </w:rPr>
              <w:t>Check</w:t>
            </w:r>
          </w:p>
        </w:tc>
        <w:tc>
          <w:tcPr>
            <w:tcW w:type="dxa" w:w="3408"/>
            <w:vAlign w:val="center"/>
          </w:tcPr>
          <w:p>
            <w:pPr>
              <w:jc w:val="center"/>
            </w:pPr>
            <w:r>
              <w:rPr>
                <w:rFonts w:ascii="Times New Roman" w:hAnsi="Times New Roman"/>
                <w:b/>
                <w:sz w:val="19"/>
              </w:rPr>
              <w:t>Expected result</w:t>
            </w:r>
          </w:p>
        </w:tc>
        <w:tc>
          <w:tcPr>
            <w:tcW w:type="dxa" w:w="3408"/>
            <w:vAlign w:val="center"/>
          </w:tcPr>
          <w:p>
            <w:pPr>
              <w:jc w:val="center"/>
            </w:pPr>
            <w:r>
              <w:rPr>
                <w:rFonts w:ascii="Times New Roman" w:hAnsi="Times New Roman"/>
                <w:b/>
                <w:sz w:val="19"/>
              </w:rPr>
              <w:t>Action if failed</w:t>
            </w:r>
          </w:p>
        </w:tc>
      </w:tr>
      <w:tr>
        <w:tc>
          <w:tcPr>
            <w:tcW w:type="dxa" w:w="3408"/>
            <w:vAlign w:val="center"/>
          </w:tcPr>
          <w:p>
            <w:pPr>
              <w:jc w:val="center"/>
            </w:pPr>
            <w:r>
              <w:rPr>
                <w:rFonts w:ascii="Times New Roman" w:hAnsi="Times New Roman"/>
                <w:sz w:val="19"/>
              </w:rPr>
              <w:t>Unconnected nets</w:t>
            </w:r>
          </w:p>
        </w:tc>
        <w:tc>
          <w:tcPr>
            <w:tcW w:type="dxa" w:w="3408"/>
            <w:vAlign w:val="center"/>
          </w:tcPr>
          <w:p>
            <w:pPr>
              <w:jc w:val="center"/>
            </w:pPr>
            <w:r>
              <w:rPr>
                <w:rFonts w:ascii="Times New Roman" w:hAnsi="Times New Roman"/>
                <w:sz w:val="19"/>
              </w:rPr>
              <w:t>0</w:t>
            </w:r>
          </w:p>
        </w:tc>
        <w:tc>
          <w:tcPr>
            <w:tcW w:type="dxa" w:w="3408"/>
            <w:vAlign w:val="center"/>
          </w:tcPr>
          <w:p>
            <w:pPr>
              <w:jc w:val="center"/>
            </w:pPr>
            <w:r>
              <w:rPr>
                <w:rFonts w:ascii="Times New Roman" w:hAnsi="Times New Roman"/>
                <w:sz w:val="19"/>
              </w:rPr>
              <w:t>Route missing connection</w:t>
            </w:r>
          </w:p>
        </w:tc>
      </w:tr>
      <w:tr>
        <w:tc>
          <w:tcPr>
            <w:tcW w:type="dxa" w:w="3408"/>
            <w:vAlign w:val="center"/>
          </w:tcPr>
          <w:p>
            <w:pPr>
              <w:jc w:val="center"/>
            </w:pPr>
            <w:r>
              <w:rPr>
                <w:rFonts w:ascii="Times New Roman" w:hAnsi="Times New Roman"/>
                <w:sz w:val="19"/>
              </w:rPr>
              <w:t>Clearance violations</w:t>
            </w:r>
          </w:p>
        </w:tc>
        <w:tc>
          <w:tcPr>
            <w:tcW w:type="dxa" w:w="3408"/>
            <w:vAlign w:val="center"/>
          </w:tcPr>
          <w:p>
            <w:pPr>
              <w:jc w:val="center"/>
            </w:pPr>
            <w:r>
              <w:rPr>
                <w:rFonts w:ascii="Times New Roman" w:hAnsi="Times New Roman"/>
                <w:sz w:val="19"/>
              </w:rPr>
              <w:t>0</w:t>
            </w:r>
          </w:p>
        </w:tc>
        <w:tc>
          <w:tcPr>
            <w:tcW w:type="dxa" w:w="3408"/>
            <w:vAlign w:val="center"/>
          </w:tcPr>
          <w:p>
            <w:pPr>
              <w:jc w:val="center"/>
            </w:pPr>
            <w:r>
              <w:rPr>
                <w:rFonts w:ascii="Times New Roman" w:hAnsi="Times New Roman"/>
                <w:sz w:val="19"/>
              </w:rPr>
              <w:t>Move or reroute trace</w:t>
            </w:r>
          </w:p>
        </w:tc>
      </w:tr>
      <w:tr>
        <w:tc>
          <w:tcPr>
            <w:tcW w:type="dxa" w:w="3408"/>
            <w:vAlign w:val="center"/>
          </w:tcPr>
          <w:p>
            <w:pPr>
              <w:jc w:val="center"/>
            </w:pPr>
            <w:r>
              <w:rPr>
                <w:rFonts w:ascii="Times New Roman" w:hAnsi="Times New Roman"/>
                <w:sz w:val="19"/>
              </w:rPr>
              <w:t>Board-edge violations</w:t>
            </w:r>
          </w:p>
        </w:tc>
        <w:tc>
          <w:tcPr>
            <w:tcW w:type="dxa" w:w="3408"/>
            <w:vAlign w:val="center"/>
          </w:tcPr>
          <w:p>
            <w:pPr>
              <w:jc w:val="center"/>
            </w:pPr>
            <w:r>
              <w:rPr>
                <w:rFonts w:ascii="Times New Roman" w:hAnsi="Times New Roman"/>
                <w:sz w:val="19"/>
              </w:rPr>
              <w:t>0</w:t>
            </w:r>
          </w:p>
        </w:tc>
        <w:tc>
          <w:tcPr>
            <w:tcW w:type="dxa" w:w="3408"/>
            <w:vAlign w:val="center"/>
          </w:tcPr>
          <w:p>
            <w:pPr>
              <w:jc w:val="center"/>
            </w:pPr>
            <w:r>
              <w:rPr>
                <w:rFonts w:ascii="Times New Roman" w:hAnsi="Times New Roman"/>
                <w:sz w:val="19"/>
              </w:rPr>
              <w:t>Move copper/components inward</w:t>
            </w:r>
          </w:p>
        </w:tc>
      </w:tr>
      <w:tr>
        <w:tc>
          <w:tcPr>
            <w:tcW w:type="dxa" w:w="3408"/>
            <w:vAlign w:val="center"/>
          </w:tcPr>
          <w:p>
            <w:pPr>
              <w:jc w:val="center"/>
            </w:pPr>
            <w:r>
              <w:rPr>
                <w:rFonts w:ascii="Times New Roman" w:hAnsi="Times New Roman"/>
                <w:sz w:val="19"/>
              </w:rPr>
              <w:t>Hole/annular-ring issues</w:t>
            </w:r>
          </w:p>
        </w:tc>
        <w:tc>
          <w:tcPr>
            <w:tcW w:type="dxa" w:w="3408"/>
            <w:vAlign w:val="center"/>
          </w:tcPr>
          <w:p>
            <w:pPr>
              <w:jc w:val="center"/>
            </w:pPr>
            <w:r>
              <w:rPr>
                <w:rFonts w:ascii="Times New Roman" w:hAnsi="Times New Roman"/>
                <w:sz w:val="19"/>
              </w:rPr>
              <w:t>0</w:t>
            </w:r>
          </w:p>
        </w:tc>
        <w:tc>
          <w:tcPr>
            <w:tcW w:type="dxa" w:w="3408"/>
            <w:vAlign w:val="center"/>
          </w:tcPr>
          <w:p>
            <w:pPr>
              <w:jc w:val="center"/>
            </w:pPr>
            <w:r>
              <w:rPr>
                <w:rFonts w:ascii="Times New Roman" w:hAnsi="Times New Roman"/>
                <w:sz w:val="19"/>
              </w:rPr>
              <w:t>Use suitable footprint</w:t>
            </w:r>
          </w:p>
        </w:tc>
      </w:tr>
      <w:tr>
        <w:tc>
          <w:tcPr>
            <w:tcW w:type="dxa" w:w="3408"/>
            <w:vAlign w:val="center"/>
          </w:tcPr>
          <w:p>
            <w:pPr>
              <w:jc w:val="center"/>
            </w:pPr>
            <w:r>
              <w:rPr>
                <w:rFonts w:ascii="Times New Roman" w:hAnsi="Times New Roman"/>
                <w:sz w:val="19"/>
              </w:rPr>
              <w:t>Silkscreen overlap</w:t>
            </w:r>
          </w:p>
        </w:tc>
        <w:tc>
          <w:tcPr>
            <w:tcW w:type="dxa" w:w="3408"/>
            <w:vAlign w:val="center"/>
          </w:tcPr>
          <w:p>
            <w:pPr>
              <w:jc w:val="center"/>
            </w:pPr>
            <w:r>
              <w:rPr>
                <w:rFonts w:ascii="Times New Roman" w:hAnsi="Times New Roman"/>
                <w:sz w:val="19"/>
              </w:rPr>
              <w:t>0 or acceptable</w:t>
            </w:r>
          </w:p>
        </w:tc>
        <w:tc>
          <w:tcPr>
            <w:tcW w:type="dxa" w:w="3408"/>
            <w:vAlign w:val="center"/>
          </w:tcPr>
          <w:p>
            <w:pPr>
              <w:jc w:val="center"/>
            </w:pPr>
            <w:r>
              <w:rPr>
                <w:rFonts w:ascii="Times New Roman" w:hAnsi="Times New Roman"/>
                <w:sz w:val="19"/>
              </w:rPr>
              <w:t>Move reference text</w:t>
            </w:r>
          </w:p>
        </w:tc>
      </w:tr>
      <w:tr>
        <w:tc>
          <w:tcPr>
            <w:tcW w:type="dxa" w:w="3408"/>
            <w:vAlign w:val="center"/>
          </w:tcPr>
          <w:p>
            <w:pPr>
              <w:jc w:val="center"/>
            </w:pPr>
            <w:r>
              <w:rPr>
                <w:rFonts w:ascii="Times New Roman" w:hAnsi="Times New Roman"/>
                <w:sz w:val="19"/>
              </w:rPr>
              <w:t>Footprint mismatch</w:t>
            </w:r>
          </w:p>
        </w:tc>
        <w:tc>
          <w:tcPr>
            <w:tcW w:type="dxa" w:w="3408"/>
            <w:vAlign w:val="center"/>
          </w:tcPr>
          <w:p>
            <w:pPr>
              <w:jc w:val="center"/>
            </w:pPr>
            <w:r>
              <w:rPr>
                <w:rFonts w:ascii="Times New Roman" w:hAnsi="Times New Roman"/>
                <w:sz w:val="19"/>
              </w:rPr>
              <w:t>0</w:t>
            </w:r>
          </w:p>
        </w:tc>
        <w:tc>
          <w:tcPr>
            <w:tcW w:type="dxa" w:w="3408"/>
            <w:vAlign w:val="center"/>
          </w:tcPr>
          <w:p>
            <w:pPr>
              <w:jc w:val="center"/>
            </w:pPr>
            <w:r>
              <w:rPr>
                <w:rFonts w:ascii="Times New Roman" w:hAnsi="Times New Roman"/>
                <w:sz w:val="19"/>
              </w:rPr>
              <w:t>Verify component package</w:t>
            </w:r>
          </w:p>
        </w:tc>
      </w:tr>
    </w:tbl>
    <w:p>
      <w:pPr>
        <w:pStyle w:val="Heading1"/>
      </w:pPr>
      <w:r>
        <w:t>6.2 Visual Inspection Checklist</w:t>
      </w:r>
    </w:p>
    <w:p>
      <w:pPr>
        <w:pStyle w:val="ListBullet"/>
      </w:pPr>
      <w:r>
        <w:t>Confirm Q1 orientation and pin mapping.</w:t>
      </w:r>
    </w:p>
    <w:p>
      <w:pPr>
        <w:pStyle w:val="ListBullet"/>
      </w:pPr>
      <w:r>
        <w:t>Confirm capacitor polarity.</w:t>
      </w:r>
    </w:p>
    <w:p>
      <w:pPr>
        <w:pStyle w:val="ListBullet"/>
      </w:pPr>
      <w:r>
        <w:t>Confirm J3 VCC/GND labels.</w:t>
      </w:r>
    </w:p>
    <w:p>
      <w:pPr>
        <w:pStyle w:val="ListBullet"/>
      </w:pPr>
      <w:r>
        <w:t>Confirm J1 input and J2 output labels.</w:t>
      </w:r>
    </w:p>
    <w:p>
      <w:pPr>
        <w:pStyle w:val="ListBullet"/>
      </w:pPr>
      <w:r>
        <w:t>Check that no track is accidentally connected to a neighboring pad.</w:t>
      </w:r>
    </w:p>
    <w:p>
      <w:pPr>
        <w:pStyle w:val="ListBullet"/>
      </w:pPr>
      <w:r>
        <w:t>Check board outline dimensions.</w:t>
      </w:r>
    </w:p>
    <w:p>
      <w:pPr>
        <w:pStyle w:val="ListBullet"/>
      </w:pPr>
      <w:r>
        <w:t>Check mounting-hole clearances if mounting holes are used.</w:t>
      </w:r>
    </w:p>
    <w:p>
      <w:pPr>
        <w:pStyle w:val="ListBullet"/>
      </w:pPr>
      <w:r>
        <w:t>Inspect the filled ground region and isolated copper islands.</w:t>
      </w:r>
    </w:p>
    <w:p>
      <w:pPr>
        <w:pStyle w:val="Heading1"/>
      </w:pPr>
      <w:r>
        <w:t>6.3 Fabrication Readiness</w:t>
      </w:r>
    </w:p>
    <w:p>
      <w:pPr>
        <w:jc w:val="both"/>
      </w:pPr>
      <w:r>
        <w:t>A board is fabrication-ready only after both electrical and visual checks are complete. It is good practice to open the generated Gerber files in an independent Gerber viewer and compare the displayed layers with the PCB editor. This catches incorrect layer selection, missing board outline information or unexpected plot settings.</w:t>
      </w:r>
    </w:p>
    <w:p>
      <w:pPr>
        <w:pStyle w:val="Heading1"/>
      </w:pPr>
      <w:r>
        <w:t>6.4 Assembly and Test Plan</w:t>
      </w:r>
    </w:p>
    <w:p>
      <w:pPr>
        <w:jc w:val="both"/>
      </w:pPr>
      <w:r>
        <w:t>After fabrication, solder components according to the reference designators. Inspect solder joints, check resistance between VCC and GND before applying power, and then apply a current-limited supply. A small sine-wave input can be applied using a function generator or audio source, and the output can be observed on an oscilloscope.</w:t>
      </w:r>
    </w:p>
    <w:p>
      <w:r>
        <w:br w:type="page"/>
      </w:r>
    </w:p>
    <w:p>
      <w:pPr>
        <w:pStyle w:val="Heading1"/>
      </w:pPr>
      <w:r>
        <w:t>7. Gerber File Generation</w:t>
      </w:r>
    </w:p>
    <w:p>
      <w:pPr>
        <w:pStyle w:val="Heading1"/>
      </w:pPr>
      <w:r>
        <w:t>7.1 Required Fabrication Outputs</w:t>
      </w:r>
    </w:p>
    <w:p>
      <w:pPr>
        <w:jc w:val="both"/>
      </w:pPr>
      <w:r>
        <w:t>Gerber files are generated from the completed PCB layout. For a simple one-layer through-hole board, the essential fabrication information includes the copper layer, solder mask where applicable, silkscreen and board outline. Drill information is normally supplied as an Excellon drill file.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Pr>
                <w:rFonts w:ascii="Times New Roman" w:hAnsi="Times New Roman"/>
                <w:b/>
                <w:sz w:val="19"/>
              </w:rPr>
              <w:t>File / layer</w:t>
            </w:r>
          </w:p>
        </w:tc>
        <w:tc>
          <w:tcPr>
            <w:tcW w:type="dxa" w:w="5112"/>
            <w:vAlign w:val="center"/>
          </w:tcPr>
          <w:p>
            <w:pPr>
              <w:jc w:val="center"/>
            </w:pPr>
            <w:r>
              <w:rPr>
                <w:rFonts w:ascii="Times New Roman" w:hAnsi="Times New Roman"/>
                <w:b/>
                <w:sz w:val="19"/>
              </w:rPr>
              <w:t>Purpose</w:t>
            </w:r>
          </w:p>
        </w:tc>
      </w:tr>
      <w:tr>
        <w:tc>
          <w:tcPr>
            <w:tcW w:type="dxa" w:w="5112"/>
            <w:vAlign w:val="center"/>
          </w:tcPr>
          <w:p>
            <w:pPr>
              <w:jc w:val="center"/>
            </w:pPr>
            <w:r>
              <w:rPr>
                <w:rFonts w:ascii="Times New Roman" w:hAnsi="Times New Roman"/>
                <w:sz w:val="19"/>
              </w:rPr>
              <w:t>F.Cu / copper Gerber</w:t>
            </w:r>
          </w:p>
        </w:tc>
        <w:tc>
          <w:tcPr>
            <w:tcW w:type="dxa" w:w="5112"/>
            <w:vAlign w:val="center"/>
          </w:tcPr>
          <w:p>
            <w:pPr>
              <w:jc w:val="center"/>
            </w:pPr>
            <w:r>
              <w:rPr>
                <w:rFonts w:ascii="Times New Roman" w:hAnsi="Times New Roman"/>
                <w:sz w:val="19"/>
              </w:rPr>
              <w:t>Top-side copper pattern</w:t>
            </w:r>
          </w:p>
        </w:tc>
      </w:tr>
      <w:tr>
        <w:tc>
          <w:tcPr>
            <w:tcW w:type="dxa" w:w="5112"/>
            <w:vAlign w:val="center"/>
          </w:tcPr>
          <w:p>
            <w:pPr>
              <w:jc w:val="center"/>
            </w:pPr>
            <w:r>
              <w:rPr>
                <w:rFonts w:ascii="Times New Roman" w:hAnsi="Times New Roman"/>
                <w:sz w:val="19"/>
              </w:rPr>
              <w:t>B.Cu / copper Gerber</w:t>
            </w:r>
          </w:p>
        </w:tc>
        <w:tc>
          <w:tcPr>
            <w:tcW w:type="dxa" w:w="5112"/>
            <w:vAlign w:val="center"/>
          </w:tcPr>
          <w:p>
            <w:pPr>
              <w:jc w:val="center"/>
            </w:pPr>
            <w:r>
              <w:rPr>
                <w:rFonts w:ascii="Times New Roman" w:hAnsi="Times New Roman"/>
                <w:sz w:val="19"/>
              </w:rPr>
              <w:t>Bottom copper if used; not required for true single-layer routing</w:t>
            </w:r>
          </w:p>
        </w:tc>
      </w:tr>
      <w:tr>
        <w:tc>
          <w:tcPr>
            <w:tcW w:type="dxa" w:w="5112"/>
            <w:vAlign w:val="center"/>
          </w:tcPr>
          <w:p>
            <w:pPr>
              <w:jc w:val="center"/>
            </w:pPr>
            <w:r>
              <w:rPr>
                <w:rFonts w:ascii="Times New Roman" w:hAnsi="Times New Roman"/>
                <w:sz w:val="19"/>
              </w:rPr>
              <w:t>F.Mask</w:t>
            </w:r>
          </w:p>
        </w:tc>
        <w:tc>
          <w:tcPr>
            <w:tcW w:type="dxa" w:w="5112"/>
            <w:vAlign w:val="center"/>
          </w:tcPr>
          <w:p>
            <w:pPr>
              <w:jc w:val="center"/>
            </w:pPr>
            <w:r>
              <w:rPr>
                <w:rFonts w:ascii="Times New Roman" w:hAnsi="Times New Roman"/>
                <w:sz w:val="19"/>
              </w:rPr>
              <w:t>Top solder-mask opening data</w:t>
            </w:r>
          </w:p>
        </w:tc>
      </w:tr>
      <w:tr>
        <w:tc>
          <w:tcPr>
            <w:tcW w:type="dxa" w:w="5112"/>
            <w:vAlign w:val="center"/>
          </w:tcPr>
          <w:p>
            <w:pPr>
              <w:jc w:val="center"/>
            </w:pPr>
            <w:r>
              <w:rPr>
                <w:rFonts w:ascii="Times New Roman" w:hAnsi="Times New Roman"/>
                <w:sz w:val="19"/>
              </w:rPr>
              <w:t>B.Mask</w:t>
            </w:r>
          </w:p>
        </w:tc>
        <w:tc>
          <w:tcPr>
            <w:tcW w:type="dxa" w:w="5112"/>
            <w:vAlign w:val="center"/>
          </w:tcPr>
          <w:p>
            <w:pPr>
              <w:jc w:val="center"/>
            </w:pPr>
            <w:r>
              <w:rPr>
                <w:rFonts w:ascii="Times New Roman" w:hAnsi="Times New Roman"/>
                <w:sz w:val="19"/>
              </w:rPr>
              <w:t>Bottom solder-mask data if applicable</w:t>
            </w:r>
          </w:p>
        </w:tc>
      </w:tr>
      <w:tr>
        <w:tc>
          <w:tcPr>
            <w:tcW w:type="dxa" w:w="5112"/>
            <w:vAlign w:val="center"/>
          </w:tcPr>
          <w:p>
            <w:pPr>
              <w:jc w:val="center"/>
            </w:pPr>
            <w:r>
              <w:rPr>
                <w:rFonts w:ascii="Times New Roman" w:hAnsi="Times New Roman"/>
                <w:sz w:val="19"/>
              </w:rPr>
              <w:t>F.Silkscreen</w:t>
            </w:r>
          </w:p>
        </w:tc>
        <w:tc>
          <w:tcPr>
            <w:tcW w:type="dxa" w:w="5112"/>
            <w:vAlign w:val="center"/>
          </w:tcPr>
          <w:p>
            <w:pPr>
              <w:jc w:val="center"/>
            </w:pPr>
            <w:r>
              <w:rPr>
                <w:rFonts w:ascii="Times New Roman" w:hAnsi="Times New Roman"/>
                <w:sz w:val="19"/>
              </w:rPr>
              <w:t>Top component labels and markings</w:t>
            </w:r>
          </w:p>
        </w:tc>
      </w:tr>
      <w:tr>
        <w:tc>
          <w:tcPr>
            <w:tcW w:type="dxa" w:w="5112"/>
            <w:vAlign w:val="center"/>
          </w:tcPr>
          <w:p>
            <w:pPr>
              <w:jc w:val="center"/>
            </w:pPr>
            <w:r>
              <w:rPr>
                <w:rFonts w:ascii="Times New Roman" w:hAnsi="Times New Roman"/>
                <w:sz w:val="19"/>
              </w:rPr>
              <w:t>Edge.Cuts</w:t>
            </w:r>
          </w:p>
        </w:tc>
        <w:tc>
          <w:tcPr>
            <w:tcW w:type="dxa" w:w="5112"/>
            <w:vAlign w:val="center"/>
          </w:tcPr>
          <w:p>
            <w:pPr>
              <w:jc w:val="center"/>
            </w:pPr>
            <w:r>
              <w:rPr>
                <w:rFonts w:ascii="Times New Roman" w:hAnsi="Times New Roman"/>
                <w:sz w:val="19"/>
              </w:rPr>
              <w:t>Board outline / fabrication profile</w:t>
            </w:r>
          </w:p>
        </w:tc>
      </w:tr>
      <w:tr>
        <w:tc>
          <w:tcPr>
            <w:tcW w:type="dxa" w:w="5112"/>
            <w:vAlign w:val="center"/>
          </w:tcPr>
          <w:p>
            <w:pPr>
              <w:jc w:val="center"/>
            </w:pPr>
            <w:r>
              <w:rPr>
                <w:rFonts w:ascii="Times New Roman" w:hAnsi="Times New Roman"/>
                <w:sz w:val="19"/>
              </w:rPr>
              <w:t>Excellon drill</w:t>
            </w:r>
          </w:p>
        </w:tc>
        <w:tc>
          <w:tcPr>
            <w:tcW w:type="dxa" w:w="5112"/>
            <w:vAlign w:val="center"/>
          </w:tcPr>
          <w:p>
            <w:pPr>
              <w:jc w:val="center"/>
            </w:pPr>
            <w:r>
              <w:rPr>
                <w:rFonts w:ascii="Times New Roman" w:hAnsi="Times New Roman"/>
                <w:sz w:val="19"/>
              </w:rPr>
              <w:t>Through-hole drilling locations and sizes</w:t>
            </w:r>
          </w:p>
        </w:tc>
      </w:tr>
    </w:tbl>
    <w:p>
      <w:pPr>
        <w:pStyle w:val="Heading1"/>
      </w:pPr>
      <w:r>
        <w:t>7.2 Gerber Plot Procedure in KiCad</w:t>
      </w:r>
    </w:p>
    <w:p>
      <w:pPr>
        <w:pStyle w:val="ListBullet"/>
      </w:pPr>
      <w:r>
        <w:t>Open the PCB layout in PCB Editor.</w:t>
      </w:r>
    </w:p>
    <w:p>
      <w:pPr>
        <w:pStyle w:val="ListBullet"/>
      </w:pPr>
      <w:r>
        <w:t>Run the board design-rule check and resolve required errors.</w:t>
      </w:r>
    </w:p>
    <w:p>
      <w:pPr>
        <w:pStyle w:val="ListBullet"/>
      </w:pPr>
      <w:r>
        <w:t>Open the Gerber Plot/Plot dialog.</w:t>
      </w:r>
    </w:p>
    <w:p>
      <w:pPr>
        <w:pStyle w:val="ListBullet"/>
      </w:pPr>
      <w:r>
        <w:t>Select the fabrication layers required by the manufacturer.</w:t>
      </w:r>
    </w:p>
    <w:p>
      <w:pPr>
        <w:pStyle w:val="ListBullet"/>
      </w:pPr>
      <w:r>
        <w:t>Enable the board outline layer.</w:t>
      </w:r>
    </w:p>
    <w:p>
      <w:pPr>
        <w:pStyle w:val="ListBullet"/>
      </w:pPr>
      <w:r>
        <w:t>Generate drill files using the appropriate drill settings.</w:t>
      </w:r>
    </w:p>
    <w:p>
      <w:pPr>
        <w:pStyle w:val="ListBullet"/>
      </w:pPr>
      <w:r>
        <w:t>Generate the Gerber files into a dedicated fabrication folder.</w:t>
      </w:r>
    </w:p>
    <w:p>
      <w:pPr>
        <w:pStyle w:val="ListBullet"/>
      </w:pPr>
      <w:r>
        <w:t>Open the files in a Gerber viewer and inspect each layer.</w:t>
      </w:r>
    </w:p>
    <w:p>
      <w:pPr>
        <w:pStyle w:val="Heading1"/>
      </w:pPr>
      <w:r>
        <w:t>7.3 Suggested Gerber Package</w:t>
      </w:r>
    </w:p>
    <w:p>
      <w:pPr>
        <w:jc w:val="both"/>
      </w:pPr>
      <w:r>
        <w:t>A typical output folder can contain files similar to: CommonEmitter-F_Cu.gbr, CommonEmitter-F_Mask.gbr, CommonEmitter-F_Silkscreen.gbr, CommonEmitter-Edge_Cuts.gm1 and CommonEmitter-PTH.drl. Exact extensions and naming depend on KiCad version and plot settings.</w:t>
      </w:r>
    </w:p>
    <w:p>
      <w:pPr>
        <w:pStyle w:val="Heading1"/>
      </w:pPr>
      <w:r>
        <w:t>7.4 Important Note</w:t>
      </w:r>
    </w:p>
    <w:p>
      <w:pPr>
        <w:jc w:val="both"/>
      </w:pPr>
      <w:r>
        <w:t>The filenames above are representative examples of the intended fabrication package. They are not presented as actual generated manufacturing files unless the PCB layout has been created and plotted in KiCad. The report therefore documents the correct generation procedure and expected output structure.</w:t>
      </w:r>
    </w:p>
    <w:p>
      <w:r>
        <w:br w:type="page"/>
      </w:r>
    </w:p>
    <w:p>
      <w:pPr>
        <w:pStyle w:val="Heading1"/>
      </w:pPr>
      <w:r>
        <w:t>8. PCB Manufacturing, Assembly and Testing</w:t>
      </w:r>
    </w:p>
    <w:p>
      <w:pPr>
        <w:pStyle w:val="Heading1"/>
      </w:pPr>
      <w:r>
        <w:t>8.1 Fabrication Preparation</w:t>
      </w:r>
    </w:p>
    <w:p>
      <w:pPr>
        <w:jc w:val="both"/>
      </w:pPr>
      <w:r>
        <w:t>Before sending the design for fabrication, confirm board thickness, copper weight, surface finish, solder-mask availability, minimum drill size and manufacturer's minimum track/clearance capability. For an educational prototype, a standard FR-4 board with approximately 1.6 mm thickness is commonly suitable.</w:t>
      </w:r>
    </w:p>
    <w:p>
      <w:pPr>
        <w:pStyle w:val="Heading1"/>
      </w:pPr>
      <w:r>
        <w:t>8.2 Assembly Sequence</w:t>
      </w:r>
    </w:p>
    <w:p>
      <w:pPr>
        <w:pStyle w:val="ListBullet"/>
      </w:pPr>
      <w:r>
        <w:t>Inspect the bare PCB and confirm the board outline.</w:t>
      </w:r>
    </w:p>
    <w:p>
      <w:pPr>
        <w:pStyle w:val="ListBullet"/>
      </w:pPr>
      <w:r>
        <w:t>Populate resistors first because their low height makes later soldering easier.</w:t>
      </w:r>
    </w:p>
    <w:p>
      <w:pPr>
        <w:pStyle w:val="ListBullet"/>
      </w:pPr>
      <w:r>
        <w:t>Install Q1 while matching its package orientation and pinout.</w:t>
      </w:r>
    </w:p>
    <w:p>
      <w:pPr>
        <w:pStyle w:val="ListBullet"/>
      </w:pPr>
      <w:r>
        <w:t>Install electrolytic capacitors with correct polarity.</w:t>
      </w:r>
    </w:p>
    <w:p>
      <w:pPr>
        <w:pStyle w:val="ListBullet"/>
      </w:pPr>
      <w:r>
        <w:t>Install connectors and mechanically secure them.</w:t>
      </w:r>
    </w:p>
    <w:p>
      <w:pPr>
        <w:pStyle w:val="ListBullet"/>
      </w:pPr>
      <w:r>
        <w:t>Inspect solder bridges and cold joints under magnification.</w:t>
      </w:r>
    </w:p>
    <w:p>
      <w:pPr>
        <w:pStyle w:val="ListBullet"/>
      </w:pPr>
      <w:r>
        <w:t>Clean the PCB if required by the soldering process.</w:t>
      </w:r>
    </w:p>
    <w:p>
      <w:pPr>
        <w:pStyle w:val="Heading1"/>
      </w:pPr>
      <w:r>
        <w:t>8.3 Pre-Power Electrical Test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Pr>
                <w:rFonts w:ascii="Times New Roman" w:hAnsi="Times New Roman"/>
                <w:b/>
                <w:sz w:val="19"/>
              </w:rPr>
              <w:t>Test</w:t>
            </w:r>
          </w:p>
        </w:tc>
        <w:tc>
          <w:tcPr>
            <w:tcW w:type="dxa" w:w="5112"/>
            <w:vAlign w:val="center"/>
          </w:tcPr>
          <w:p>
            <w:pPr>
              <w:jc w:val="center"/>
            </w:pPr>
            <w:r>
              <w:rPr>
                <w:rFonts w:ascii="Times New Roman" w:hAnsi="Times New Roman"/>
                <w:b/>
                <w:sz w:val="19"/>
              </w:rPr>
              <w:t>Expected observation</w:t>
            </w:r>
          </w:p>
        </w:tc>
      </w:tr>
      <w:tr>
        <w:tc>
          <w:tcPr>
            <w:tcW w:type="dxa" w:w="5112"/>
            <w:vAlign w:val="center"/>
          </w:tcPr>
          <w:p>
            <w:pPr>
              <w:jc w:val="center"/>
            </w:pPr>
            <w:r>
              <w:rPr>
                <w:rFonts w:ascii="Times New Roman" w:hAnsi="Times New Roman"/>
                <w:sz w:val="19"/>
              </w:rPr>
              <w:t>VCC to GND resistance</w:t>
            </w:r>
          </w:p>
        </w:tc>
        <w:tc>
          <w:tcPr>
            <w:tcW w:type="dxa" w:w="5112"/>
            <w:vAlign w:val="center"/>
          </w:tcPr>
          <w:p>
            <w:pPr>
              <w:jc w:val="center"/>
            </w:pPr>
            <w:r>
              <w:rPr>
                <w:rFonts w:ascii="Times New Roman" w:hAnsi="Times New Roman"/>
                <w:sz w:val="19"/>
              </w:rPr>
              <w:t>No near-short circuit</w:t>
            </w:r>
          </w:p>
        </w:tc>
      </w:tr>
      <w:tr>
        <w:tc>
          <w:tcPr>
            <w:tcW w:type="dxa" w:w="5112"/>
            <w:vAlign w:val="center"/>
          </w:tcPr>
          <w:p>
            <w:pPr>
              <w:jc w:val="center"/>
            </w:pPr>
            <w:r>
              <w:rPr>
                <w:rFonts w:ascii="Times New Roman" w:hAnsi="Times New Roman"/>
                <w:sz w:val="19"/>
              </w:rPr>
              <w:t>Visual polarity check</w:t>
            </w:r>
          </w:p>
        </w:tc>
        <w:tc>
          <w:tcPr>
            <w:tcW w:type="dxa" w:w="5112"/>
            <w:vAlign w:val="center"/>
          </w:tcPr>
          <w:p>
            <w:pPr>
              <w:jc w:val="center"/>
            </w:pPr>
            <w:r>
              <w:rPr>
                <w:rFonts w:ascii="Times New Roman" w:hAnsi="Times New Roman"/>
                <w:sz w:val="19"/>
              </w:rPr>
              <w:t>All electrolytic capacitors correct</w:t>
            </w:r>
          </w:p>
        </w:tc>
      </w:tr>
      <w:tr>
        <w:tc>
          <w:tcPr>
            <w:tcW w:type="dxa" w:w="5112"/>
            <w:vAlign w:val="center"/>
          </w:tcPr>
          <w:p>
            <w:pPr>
              <w:jc w:val="center"/>
            </w:pPr>
            <w:r>
              <w:rPr>
                <w:rFonts w:ascii="Times New Roman" w:hAnsi="Times New Roman"/>
                <w:sz w:val="19"/>
              </w:rPr>
              <w:t>Q1 orientation</w:t>
            </w:r>
          </w:p>
        </w:tc>
        <w:tc>
          <w:tcPr>
            <w:tcW w:type="dxa" w:w="5112"/>
            <w:vAlign w:val="center"/>
          </w:tcPr>
          <w:p>
            <w:pPr>
              <w:jc w:val="center"/>
            </w:pPr>
            <w:r>
              <w:rPr>
                <w:rFonts w:ascii="Times New Roman" w:hAnsi="Times New Roman"/>
                <w:sz w:val="19"/>
              </w:rPr>
              <w:t>Matches selected footprint/pinout</w:t>
            </w:r>
          </w:p>
        </w:tc>
      </w:tr>
      <w:tr>
        <w:tc>
          <w:tcPr>
            <w:tcW w:type="dxa" w:w="5112"/>
            <w:vAlign w:val="center"/>
          </w:tcPr>
          <w:p>
            <w:pPr>
              <w:jc w:val="center"/>
            </w:pPr>
            <w:r>
              <w:rPr>
                <w:rFonts w:ascii="Times New Roman" w:hAnsi="Times New Roman"/>
                <w:sz w:val="19"/>
              </w:rPr>
              <w:t>Connector continuity</w:t>
            </w:r>
          </w:p>
        </w:tc>
        <w:tc>
          <w:tcPr>
            <w:tcW w:type="dxa" w:w="5112"/>
            <w:vAlign w:val="center"/>
          </w:tcPr>
          <w:p>
            <w:pPr>
              <w:jc w:val="center"/>
            </w:pPr>
            <w:r>
              <w:rPr>
                <w:rFonts w:ascii="Times New Roman" w:hAnsi="Times New Roman"/>
                <w:sz w:val="19"/>
              </w:rPr>
              <w:t>Pins match labels</w:t>
            </w:r>
          </w:p>
        </w:tc>
      </w:tr>
      <w:tr>
        <w:tc>
          <w:tcPr>
            <w:tcW w:type="dxa" w:w="5112"/>
            <w:vAlign w:val="center"/>
          </w:tcPr>
          <w:p>
            <w:pPr>
              <w:jc w:val="center"/>
            </w:pPr>
            <w:r>
              <w:rPr>
                <w:rFonts w:ascii="Times New Roman" w:hAnsi="Times New Roman"/>
                <w:sz w:val="19"/>
              </w:rPr>
              <w:t>Ground continuity</w:t>
            </w:r>
          </w:p>
        </w:tc>
        <w:tc>
          <w:tcPr>
            <w:tcW w:type="dxa" w:w="5112"/>
            <w:vAlign w:val="center"/>
          </w:tcPr>
          <w:p>
            <w:pPr>
              <w:jc w:val="center"/>
            </w:pPr>
            <w:r>
              <w:rPr>
                <w:rFonts w:ascii="Times New Roman" w:hAnsi="Times New Roman"/>
                <w:sz w:val="19"/>
              </w:rPr>
              <w:t>Common ground path present</w:t>
            </w:r>
          </w:p>
        </w:tc>
      </w:tr>
    </w:tbl>
    <w:p>
      <w:pPr>
        <w:pStyle w:val="Heading1"/>
      </w:pPr>
      <w:r>
        <w:t>8.4 Functional Test</w:t>
      </w:r>
    </w:p>
    <w:p>
      <w:pPr>
        <w:jc w:val="both"/>
      </w:pPr>
      <w:r>
        <w:t>Apply a regulated 9 V supply and verify the transistor DC operating voltages. Then apply a low-amplitude sine wave to the input. Observe the output waveform and compare input and output amplitudes. The CE stage should provide voltage gain within the limits set by the bias point, transistor characteristics, emitter bypassing and load.</w:t>
      </w:r>
    </w:p>
    <w:p>
      <w:pPr>
        <w:pStyle w:val="Heading1"/>
      </w:pPr>
      <w:r>
        <w:t>8.5 Expected Waveform</w:t>
      </w:r>
    </w:p>
    <w:p>
      <w:pPr>
        <w:jc w:val="both"/>
      </w:pPr>
      <w:r>
        <w:t>For a small sinusoidal input, the collector output is approximately sinusoidal but is inverted in phase relative to the input. If the input amplitude is increased too much, clipping can occur because the transistor leaves its intended active region. Such clipping is useful as a diagnostic sign that the signal level or bias point needs adjustment.</w:t>
      </w:r>
    </w:p>
    <w:p>
      <w:r>
        <w:br w:type="page"/>
      </w:r>
    </w:p>
    <w:p>
      <w:pPr>
        <w:pStyle w:val="Heading1"/>
      </w:pPr>
      <w:r>
        <w:t>9. Results, Conclusion and References</w:t>
      </w:r>
    </w:p>
    <w:p>
      <w:pPr>
        <w:pStyle w:val="Heading1"/>
      </w:pPr>
      <w:r>
        <w:t>9.1 Result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Pr>
                <w:rFonts w:ascii="Times New Roman" w:hAnsi="Times New Roman"/>
                <w:b/>
                <w:sz w:val="19"/>
              </w:rPr>
              <w:t>Design stage</w:t>
            </w:r>
          </w:p>
        </w:tc>
        <w:tc>
          <w:tcPr>
            <w:tcW w:type="dxa" w:w="5112"/>
            <w:vAlign w:val="center"/>
          </w:tcPr>
          <w:p>
            <w:pPr>
              <w:jc w:val="center"/>
            </w:pPr>
            <w:r>
              <w:rPr>
                <w:rFonts w:ascii="Times New Roman" w:hAnsi="Times New Roman"/>
                <w:b/>
                <w:sz w:val="19"/>
              </w:rPr>
              <w:t>Result / status</w:t>
            </w:r>
          </w:p>
        </w:tc>
      </w:tr>
      <w:tr>
        <w:tc>
          <w:tcPr>
            <w:tcW w:type="dxa" w:w="5112"/>
            <w:vAlign w:val="center"/>
          </w:tcPr>
          <w:p>
            <w:pPr>
              <w:jc w:val="center"/>
            </w:pPr>
            <w:r>
              <w:rPr>
                <w:rFonts w:ascii="Times New Roman" w:hAnsi="Times New Roman"/>
                <w:sz w:val="19"/>
              </w:rPr>
              <w:t>Schematic capture</w:t>
            </w:r>
          </w:p>
        </w:tc>
        <w:tc>
          <w:tcPr>
            <w:tcW w:type="dxa" w:w="5112"/>
            <w:vAlign w:val="center"/>
          </w:tcPr>
          <w:p>
            <w:pPr>
              <w:jc w:val="center"/>
            </w:pPr>
            <w:r>
              <w:rPr>
                <w:rFonts w:ascii="Times New Roman" w:hAnsi="Times New Roman"/>
                <w:sz w:val="19"/>
              </w:rPr>
              <w:t>Completed design procedure</w:t>
            </w:r>
          </w:p>
        </w:tc>
      </w:tr>
      <w:tr>
        <w:tc>
          <w:tcPr>
            <w:tcW w:type="dxa" w:w="5112"/>
            <w:vAlign w:val="center"/>
          </w:tcPr>
          <w:p>
            <w:pPr>
              <w:jc w:val="center"/>
            </w:pPr>
            <w:r>
              <w:rPr>
                <w:rFonts w:ascii="Times New Roman" w:hAnsi="Times New Roman"/>
                <w:sz w:val="19"/>
              </w:rPr>
              <w:t>Footprint assignment</w:t>
            </w:r>
          </w:p>
        </w:tc>
        <w:tc>
          <w:tcPr>
            <w:tcW w:type="dxa" w:w="5112"/>
            <w:vAlign w:val="center"/>
          </w:tcPr>
          <w:p>
            <w:pPr>
              <w:jc w:val="center"/>
            </w:pPr>
            <w:r>
              <w:rPr>
                <w:rFonts w:ascii="Times New Roman" w:hAnsi="Times New Roman"/>
                <w:sz w:val="19"/>
              </w:rPr>
              <w:t>Through-hole footprints selected</w:t>
            </w:r>
          </w:p>
        </w:tc>
      </w:tr>
      <w:tr>
        <w:tc>
          <w:tcPr>
            <w:tcW w:type="dxa" w:w="5112"/>
            <w:vAlign w:val="center"/>
          </w:tcPr>
          <w:p>
            <w:pPr>
              <w:jc w:val="center"/>
            </w:pPr>
            <w:r>
              <w:rPr>
                <w:rFonts w:ascii="Times New Roman" w:hAnsi="Times New Roman"/>
                <w:sz w:val="19"/>
              </w:rPr>
              <w:t>Component placement</w:t>
            </w:r>
          </w:p>
        </w:tc>
        <w:tc>
          <w:tcPr>
            <w:tcW w:type="dxa" w:w="5112"/>
            <w:vAlign w:val="center"/>
          </w:tcPr>
          <w:p>
            <w:pPr>
              <w:jc w:val="center"/>
            </w:pPr>
            <w:r>
              <w:rPr>
                <w:rFonts w:ascii="Times New Roman" w:hAnsi="Times New Roman"/>
                <w:sz w:val="19"/>
              </w:rPr>
              <w:t>Signal-flow-oriented placement</w:t>
            </w:r>
          </w:p>
        </w:tc>
      </w:tr>
      <w:tr>
        <w:tc>
          <w:tcPr>
            <w:tcW w:type="dxa" w:w="5112"/>
            <w:vAlign w:val="center"/>
          </w:tcPr>
          <w:p>
            <w:pPr>
              <w:jc w:val="center"/>
            </w:pPr>
            <w:r>
              <w:rPr>
                <w:rFonts w:ascii="Times New Roman" w:hAnsi="Times New Roman"/>
                <w:sz w:val="19"/>
              </w:rPr>
              <w:t>PCB routing</w:t>
            </w:r>
          </w:p>
        </w:tc>
        <w:tc>
          <w:tcPr>
            <w:tcW w:type="dxa" w:w="5112"/>
            <w:vAlign w:val="center"/>
          </w:tcPr>
          <w:p>
            <w:pPr>
              <w:jc w:val="center"/>
            </w:pPr>
            <w:r>
              <w:rPr>
                <w:rFonts w:ascii="Times New Roman" w:hAnsi="Times New Roman"/>
                <w:sz w:val="19"/>
              </w:rPr>
              <w:t>Single-layer routing strategy defined</w:t>
            </w:r>
          </w:p>
        </w:tc>
      </w:tr>
      <w:tr>
        <w:tc>
          <w:tcPr>
            <w:tcW w:type="dxa" w:w="5112"/>
            <w:vAlign w:val="center"/>
          </w:tcPr>
          <w:p>
            <w:pPr>
              <w:jc w:val="center"/>
            </w:pPr>
            <w:r>
              <w:rPr>
                <w:rFonts w:ascii="Times New Roman" w:hAnsi="Times New Roman"/>
                <w:sz w:val="19"/>
              </w:rPr>
              <w:t>DRC</w:t>
            </w:r>
          </w:p>
        </w:tc>
        <w:tc>
          <w:tcPr>
            <w:tcW w:type="dxa" w:w="5112"/>
            <w:vAlign w:val="center"/>
          </w:tcPr>
          <w:p>
            <w:pPr>
              <w:jc w:val="center"/>
            </w:pPr>
            <w:r>
              <w:rPr>
                <w:rFonts w:ascii="Times New Roman" w:hAnsi="Times New Roman"/>
                <w:sz w:val="19"/>
              </w:rPr>
              <w:t>Must be verified as zero critical violations</w:t>
            </w:r>
          </w:p>
        </w:tc>
      </w:tr>
      <w:tr>
        <w:tc>
          <w:tcPr>
            <w:tcW w:type="dxa" w:w="5112"/>
            <w:vAlign w:val="center"/>
          </w:tcPr>
          <w:p>
            <w:pPr>
              <w:jc w:val="center"/>
            </w:pPr>
            <w:r>
              <w:rPr>
                <w:rFonts w:ascii="Times New Roman" w:hAnsi="Times New Roman"/>
                <w:sz w:val="19"/>
              </w:rPr>
              <w:t>Gerber plotting</w:t>
            </w:r>
          </w:p>
        </w:tc>
        <w:tc>
          <w:tcPr>
            <w:tcW w:type="dxa" w:w="5112"/>
            <w:vAlign w:val="center"/>
          </w:tcPr>
          <w:p>
            <w:pPr>
              <w:jc w:val="center"/>
            </w:pPr>
            <w:r>
              <w:rPr>
                <w:rFonts w:ascii="Times New Roman" w:hAnsi="Times New Roman"/>
                <w:sz w:val="19"/>
              </w:rPr>
              <w:t>Fabrication layers and drill files defined</w:t>
            </w:r>
          </w:p>
        </w:tc>
      </w:tr>
      <w:tr>
        <w:tc>
          <w:tcPr>
            <w:tcW w:type="dxa" w:w="5112"/>
            <w:vAlign w:val="center"/>
          </w:tcPr>
          <w:p>
            <w:pPr>
              <w:jc w:val="center"/>
            </w:pPr>
            <w:r>
              <w:rPr>
                <w:rFonts w:ascii="Times New Roman" w:hAnsi="Times New Roman"/>
                <w:sz w:val="19"/>
              </w:rPr>
              <w:t>Assembly test</w:t>
            </w:r>
          </w:p>
        </w:tc>
        <w:tc>
          <w:tcPr>
            <w:tcW w:type="dxa" w:w="5112"/>
            <w:vAlign w:val="center"/>
          </w:tcPr>
          <w:p>
            <w:pPr>
              <w:jc w:val="center"/>
            </w:pPr>
            <w:r>
              <w:rPr>
                <w:rFonts w:ascii="Times New Roman" w:hAnsi="Times New Roman"/>
                <w:sz w:val="19"/>
              </w:rPr>
              <w:t>Input/output and DC checks specified</w:t>
            </w:r>
          </w:p>
        </w:tc>
      </w:tr>
    </w:tbl>
    <w:p>
      <w:pPr>
        <w:pStyle w:val="Heading1"/>
      </w:pPr>
      <w:r>
        <w:t>9.2 Advantages of the Proposed PCB</w:t>
      </w:r>
    </w:p>
    <w:p>
      <w:pPr>
        <w:pStyle w:val="ListBullet"/>
      </w:pPr>
      <w:r>
        <w:t>Simple and low-cost single-stage amplifier architecture.</w:t>
      </w:r>
    </w:p>
    <w:p>
      <w:pPr>
        <w:pStyle w:val="ListBullet"/>
      </w:pPr>
      <w:r>
        <w:t>Through-hole components make manual assembly straightforward.</w:t>
      </w:r>
    </w:p>
    <w:p>
      <w:pPr>
        <w:pStyle w:val="ListBullet"/>
      </w:pPr>
      <w:r>
        <w:t>Compact routing reduces unnecessary signal-loop area.</w:t>
      </w:r>
    </w:p>
    <w:p>
      <w:pPr>
        <w:pStyle w:val="ListBullet"/>
      </w:pPr>
      <w:r>
        <w:t>Clearly labelled connectors simplify laboratory testing.</w:t>
      </w:r>
    </w:p>
    <w:p>
      <w:pPr>
        <w:pStyle w:val="ListBullet"/>
      </w:pPr>
      <w:r>
        <w:t>Gerber and drill outputs can be directly checked before fabrication.</w:t>
      </w:r>
    </w:p>
    <w:p>
      <w:pPr>
        <w:pStyle w:val="Heading1"/>
      </w:pPr>
      <w:r>
        <w:t>9.3 Conclusion</w:t>
      </w:r>
    </w:p>
    <w:p>
      <w:pPr>
        <w:jc w:val="both"/>
      </w:pPr>
      <w:r>
        <w:t>The Common Emitter Amplifier PCB provides a complete example of the transition from an analog circuit schematic to a manufacturable printed circuit board. The design process emphasizes correct footprint selection, careful analog component placement, controlled routing, ground-return planning, design-rule verification and independent Gerber inspection. Following these stages reduces the probability of electrical, mechanical and fabrication errors. The resulting fabrication package can be used to manufacture the board once the final KiCad project is physically routed and the generated Gerbers are verified.</w:t>
      </w:r>
    </w:p>
    <w:p>
      <w:pPr>
        <w:pStyle w:val="Heading1"/>
      </w:pPr>
      <w:r>
        <w:t>9.4 References</w:t>
      </w:r>
    </w:p>
    <w:p>
      <w:pPr>
        <w:jc w:val="both"/>
      </w:pPr>
      <w:r>
        <w:t>1. KiCad Documentation, PCB Editor and Gerber Plotting documentation.</w:t>
      </w:r>
    </w:p>
    <w:p>
      <w:pPr>
        <w:jc w:val="both"/>
      </w:pPr>
      <w:r>
        <w:t>2. Paul Horowitz and Winfield Hill, The Art of Electronics, 3rd Edition, Cambridge University Press.</w:t>
      </w:r>
    </w:p>
    <w:p>
      <w:pPr>
        <w:jc w:val="both"/>
      </w:pPr>
      <w:r>
        <w:t>3. Adel S. Sedra and Kenneth C. Smith, Microelectronic Circuits, Oxford University Press.</w:t>
      </w:r>
    </w:p>
    <w:p>
      <w:pPr>
        <w:jc w:val="both"/>
      </w:pPr>
      <w:r>
        <w:t>4. Thomas L. Floyd, Electronic Devices, Pearson.</w:t>
      </w:r>
    </w:p>
    <w:p>
      <w:pPr>
        <w:jc w:val="both"/>
      </w:pPr>
      <w:r>
        <w:t>5. BC547 NPN transistor manufacturer datasheet and package/pinout documentation.</w:t>
      </w:r>
    </w:p>
    <w:p>
      <w:pPr>
        <w:pStyle w:val="Heading2"/>
      </w:pPr>
      <w:r>
        <w:t>Appendix: Recommended Final File Set</w:t>
      </w:r>
    </w:p>
    <w:p>
      <w:pPr>
        <w:jc w:val="both"/>
      </w:pPr>
      <w:r>
        <w:t>KiCad project files should include the schematic, PCB layout and project configuration. The fabrication folder should contain the plotted Gerbers, drill file and, if required by the manufacturer, a fabrication drawing or readme specifying board thickness, copper weight and special requirements.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Common Emitter Amplifier PCB Design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