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10 March </w:t>
            </w:r>
            <w:r>
              <w:t xml:space="preserve"> 2025</w:t>
            </w:r>
          </w:p>
        </w:tc>
      </w:tr>
      <w:tr>
        <w:tblPrEx/>
        <w:trPr/>
        <w:tc>
          <w:tcPr>
            <w:tcW w:w="4508" w:type="dxa"/>
            <w:tcBorders/>
          </w:tcPr>
          <w:p>
            <w:pPr>
              <w:pStyle w:val="style0"/>
              <w:rPr/>
            </w:pPr>
            <w:r>
              <w:t>Team ID</w:t>
            </w:r>
          </w:p>
        </w:tc>
        <w:tc>
          <w:tcPr>
            <w:tcW w:w="4508" w:type="dxa"/>
            <w:tcBorders/>
          </w:tcPr>
          <w:p>
            <w:pPr>
              <w:pStyle w:val="style0"/>
              <w:rPr/>
            </w:pPr>
            <w:r>
              <w:rPr>
                <w:lang w:val="en-US"/>
              </w:rPr>
              <w:t>SWTID1741233433152850</w:t>
            </w:r>
          </w:p>
        </w:tc>
      </w:tr>
      <w:tr>
        <w:tblPrEx/>
        <w:trPr/>
        <w:tc>
          <w:tcPr>
            <w:tcW w:w="4508" w:type="dxa"/>
            <w:tcBorders/>
          </w:tcPr>
          <w:p>
            <w:pPr>
              <w:pStyle w:val="style0"/>
              <w:rPr/>
            </w:pPr>
            <w:r>
              <w:t>Project Name</w:t>
            </w:r>
          </w:p>
        </w:tc>
        <w:tc>
          <w:tcPr>
            <w:tcW w:w="4508" w:type="dxa"/>
            <w:tcBorders/>
          </w:tcPr>
          <w:p>
            <w:pPr>
              <w:pStyle w:val="style0"/>
              <w:rPr/>
            </w:pPr>
            <w:r>
              <w:rPr>
                <w:lang w:val="en-US"/>
              </w:rPr>
              <w:t>Cook Book</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4865"/>
            <wp:effectExtent l="0" t="0" r="254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486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98</Words>
  <Pages>2</Pages>
  <Characters>594</Characters>
  <Application>WPS Office</Application>
  <DocSecurity>0</DocSecurity>
  <Paragraphs>29</Paragraphs>
  <ScaleCrop>false</ScaleCrop>
  <LinksUpToDate>false</LinksUpToDate>
  <CharactersWithSpaces>677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SM-A346E</lastModifiedBy>
  <dcterms:modified xsi:type="dcterms:W3CDTF">2025-03-10T06:42:24Z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d7996884eb40434d810e86a8e880333a</vt:lpwstr>
  </property>
</Properties>
</file>