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ARENA DOS MANTOS</w:t>
      </w:r>
    </w:p>
    <w:p>
      <w:pPr>
        <w:jc w:val="center"/>
      </w:pPr>
      <w:r>
        <w:rPr>
          <w:b/>
          <w:sz w:val="28"/>
        </w:rPr>
        <w:t>Football Shirt Buying and Selling Marketplace</w:t>
      </w:r>
    </w:p>
    <w:p>
      <w:pPr>
        <w:jc w:val="center"/>
      </w:pPr>
      <w:r>
        <w:rPr>
          <w:sz w:val="24"/>
        </w:rPr>
        <w:t>Complete Briefing — Tax, Legal and Technological Matters</w:t>
      </w:r>
    </w:p>
    <w:p>
      <w:pPr>
        <w:jc w:val="center"/>
      </w:pPr>
      <w:r>
        <w:rPr>
          <w:i/>
          <w:sz w:val="20"/>
        </w:rPr>
        <w:t>Avance Labs | Eduardo | May 2026</w:t>
      </w:r>
    </w:p>
    <w:p/>
    <w:p>
      <w:pPr>
        <w:pStyle w:val="Heading1"/>
      </w:pPr>
      <w:r>
        <w:t>1. Project Overview</w:t>
      </w:r>
    </w:p>
    <w:p>
      <w:r>
        <w:t>Arena dos Mantos is a football shirt buying and selling marketplace operated by Avance Labs, currently registered as a MEI under CNAE 7319-0/02 — Sales Promotion. The business model is that of an intermediary: the platform connects sellers to buyers without acting as the actual seller.</w:t>
      </w:r>
    </w:p>
    <w:p>
      <w:pPr>
        <w:pStyle w:val="Heading2"/>
      </w:pPr>
      <w:r>
        <w:t>Revenue Model</w:t>
      </w:r>
    </w:p>
    <w:p>
      <w:pPr>
        <w:pStyle w:val="ListBullet"/>
      </w:pPr>
      <w:r>
        <w:t>Pagar.me charges 4% on each transaction as the marketplace operational cost.</w:t>
      </w:r>
    </w:p>
    <w:p>
      <w:pPr>
        <w:pStyle w:val="ListBullet"/>
      </w:pPr>
      <w:r>
        <w:t>Avance Labs charges a 7% commission on each sale as its own revenue.</w:t>
      </w:r>
    </w:p>
    <w:p>
      <w:pPr>
        <w:pStyle w:val="ListBullet"/>
      </w:pPr>
      <w:r>
        <w:t>The seller receives 89% of the product value. Example: if the seller sells for R$100, the seller receives R$89.</w:t>
      </w:r>
    </w:p>
    <w:p>
      <w:pPr>
        <w:pStyle w:val="ListBullet"/>
      </w:pPr>
      <w:r>
        <w:t>Shipping is centralized through the Melhor Envio API with markup. The buyer pays more than the amount charged by Melhor Envio, and the difference becomes additional revenue.</w:t>
      </w:r>
    </w:p>
    <w:p>
      <w:pPr>
        <w:pStyle w:val="Heading2"/>
      </w:pPr>
      <w:r>
        <w:t>Project Phases</w:t>
      </w:r>
    </w:p>
    <w:p>
      <w:pPr>
        <w:pStyle w:val="ListBullet"/>
      </w:pPr>
      <w:r>
        <w:t>Phase 1 (MVP / Traction): individual sellers and MEI sellers, up to 5 free listings per user, 10 for early adopters, and the option to purchase 5 additional listings. Artificial volume limitations are used for tax control and to keep the focus on traction for investors.</w:t>
      </w:r>
    </w:p>
    <w:p>
      <w:pPr>
        <w:pStyle w:val="ListBullet"/>
      </w:pPr>
      <w:r>
        <w:t>Phase 2 (Store Plan): mandatory CNPJ registration, more listings, premium features, and an integrated invoice issuer.</w:t>
      </w:r>
    </w:p>
    <w:p>
      <w:pPr>
        <w:pStyle w:val="Heading1"/>
      </w:pPr>
      <w:r>
        <w:t>2. Tax and Fiscal Structure</w:t>
      </w:r>
    </w:p>
    <w:p>
      <w:pPr>
        <w:pStyle w:val="Heading2"/>
      </w:pPr>
      <w:r>
        <w:t>2.1 Avance Labs as MEI — Current Situation</w:t>
      </w:r>
    </w:p>
    <w:p>
      <w:pPr>
        <w:pStyle w:val="ListBullet"/>
      </w:pPr>
      <w:r>
        <w:t>MEI CNAE 7319-0/02 allows intermediary service activity as sales promotion.</w:t>
      </w:r>
    </w:p>
    <w:p>
      <w:pPr>
        <w:pStyle w:val="ListBullet"/>
      </w:pPr>
      <w:r>
        <w:t>To sell its own football shirts, Avance Labs must add CNAE 4781-4/00 (Retail sale of clothing items) for free through the Entrepreneur Portal.</w:t>
      </w:r>
    </w:p>
    <w:p>
      <w:pPr>
        <w:pStyle w:val="ListBullet"/>
      </w:pPr>
      <w:r>
        <w:t>Fixed monthly DAS: approximately R$86/month. No percentage is charged over revenue.</w:t>
      </w:r>
    </w:p>
    <w:p>
      <w:pPr>
        <w:pStyle w:val="ListBullet"/>
      </w:pPr>
      <w:r>
        <w:t>Annual revenue limit: R$81,000/year, calculated on gross revenue, not profit.</w:t>
      </w:r>
    </w:p>
    <w:p>
      <w:pPr>
        <w:pStyle w:val="ListBullet"/>
      </w:pPr>
      <w:r>
        <w:t>Tolerance margin: up to R$97,200 (20% above the limit), with no retroactive taxation; only complementary DAS and migration to ME in January of the following year.</w:t>
      </w:r>
    </w:p>
    <w:p>
      <w:pPr>
        <w:pStyle w:val="ListBullet"/>
      </w:pPr>
      <w:r>
        <w:t>Above R$97,200: retroactive taxation from January 1 of the current year, with penalties of up to 20% and SELIC interest.</w:t>
      </w:r>
    </w:p>
    <w:p>
      <w:pPr>
        <w:pStyle w:val="ListBullet"/>
      </w:pPr>
      <w:r>
        <w:t>Purchase limit: maximum of 80% of gross revenue in merchandise purchases, equivalent to R$64,800 if revenue reaches R$81,000.</w:t>
      </w:r>
    </w:p>
    <w:tbl>
      <w:tblPr>
        <w:tblW w:type="auto" w:w="0"/>
        <w:jc w:val="center"/>
        <w:tblLook w:firstColumn="1" w:firstRow="1" w:lastColumn="0" w:lastRow="0" w:noHBand="0" w:noVBand="1" w:val="04A0"/>
      </w:tblPr>
      <w:tblGrid>
        <w:gridCol w:w="10080"/>
      </w:tblGrid>
      <w:tr>
        <w:tc>
          <w:tcPr>
            <w:tcW w:type="dxa" w:w="10080"/>
            <w:shd w:fill="FFF2CC"/>
          </w:tcPr>
          <w:p>
            <w:pPr>
              <w:spacing w:after="60"/>
            </w:pPr>
            <w:r>
              <w:rPr>
                <w:rFonts w:ascii="Aptos" w:hAnsi="Aptos"/>
                <w:sz w:val="15"/>
              </w:rPr>
            </w:r>
            <w:r>
              <w:rPr>
                <w:rFonts w:ascii="Aptos" w:hAnsi="Aptos"/>
                <w:b/>
                <w:sz w:val="20"/>
              </w:rPr>
              <w:t>CRITICAL ATTENTION — MEI Purchase Limit</w:t>
            </w:r>
          </w:p>
          <w:p>
            <w:pPr>
              <w:spacing w:after="60"/>
            </w:pPr>
            <w:r>
              <w:rPr>
                <w:rFonts w:ascii="Aptos" w:hAnsi="Aptos"/>
                <w:sz w:val="18"/>
              </w:rPr>
              <w:t>The Brazilian Federal Revenue Service monitors purchases through incoming invoices. If merchandise purchases exceed 80% of gross revenue, the company may be automatically excluded from MEI status even without exceeding the revenue cap. Keep all purchase invoices for shirts intended for resale.</w:t>
            </w:r>
          </w:p>
        </w:tc>
      </w:tr>
    </w:tbl>
    <w:p/>
    <w:p>
      <w:pPr>
        <w:pStyle w:val="Heading2"/>
      </w:pPr>
      <w:r>
        <w:t>2.2 What Counts Toward the MEI Limit</w:t>
      </w:r>
    </w:p>
    <w:p>
      <w:pPr>
        <w:pStyle w:val="ListBullet"/>
      </w:pPr>
      <w:r>
        <w:t>7% commission on each intermediated sale counts as gross revenue.</w:t>
      </w:r>
    </w:p>
    <w:p>
      <w:pPr>
        <w:pStyle w:val="ListBullet"/>
      </w:pPr>
      <w:r>
        <w:t>Sales of Avance Labs’ own shirts: the full gross value counts. Example: if a shirt is sold for R$100, R$100 counts, not only the profit.</w:t>
      </w:r>
    </w:p>
    <w:p>
      <w:pPr>
        <w:pStyle w:val="ListBullet"/>
      </w:pPr>
      <w:r>
        <w:t>Shipping markup counts as revenue.</w:t>
      </w:r>
    </w:p>
    <w:p>
      <w:pPr>
        <w:pStyle w:val="ListBullet"/>
      </w:pPr>
      <w:r>
        <w:t>Important: the value of the product sold by the seller does not count as Avance Labs revenue because of the payment split. Only the commission passes through Avance Labs’ account.</w:t>
      </w:r>
    </w:p>
    <w:p>
      <w:pPr>
        <w:pStyle w:val="Heading2"/>
      </w:pPr>
      <w:r>
        <w:t>2.3 When to Become an ME under Simples Nacional</w:t>
      </w:r>
    </w:p>
    <w:p>
      <w:pPr>
        <w:pStyle w:val="ListBullet"/>
      </w:pPr>
      <w:r>
        <w:t>Taxation begins at approximately 6% over revenue under Annex III for intermediary services.</w:t>
      </w:r>
    </w:p>
    <w:p>
      <w:pPr>
        <w:pStyle w:val="ListBullet"/>
      </w:pPr>
      <w:r>
        <w:t>Sales of own merchandise fall under Annex I, starting at 4%.</w:t>
      </w:r>
    </w:p>
    <w:p>
      <w:pPr>
        <w:pStyle w:val="ListBullet"/>
      </w:pPr>
      <w:r>
        <w:t>Specialized e-commerce accountant: approximately R$400–800/month.</w:t>
      </w:r>
    </w:p>
    <w:p>
      <w:pPr>
        <w:pStyle w:val="ListBullet"/>
      </w:pPr>
      <w:r>
        <w:t>Estimated total annual cost as an ME, for revenue up to R$120,000/year: R$12,000–18,000/year.</w:t>
      </w:r>
    </w:p>
    <w:p>
      <w:pPr>
        <w:pStyle w:val="ListBullet"/>
      </w:pPr>
      <w:r>
        <w:t>Additional obligations include DEFIS instead of DASN-SIMEI, accounting bookkeeping, and future EFD-REINF requirements.</w:t>
      </w:r>
    </w:p>
    <w:p>
      <w:pPr>
        <w:pStyle w:val="Heading2"/>
      </w:pPr>
      <w:r>
        <w:t>2.4 Invoice Issuance — Who Issues What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spacing w:after="60"/>
            </w:pPr>
            <w:r>
              <w:rPr>
                <w:rFonts w:ascii="Aptos" w:hAnsi="Aptos"/>
                <w:sz w:val="15"/>
              </w:rPr>
            </w:r>
            <w:r>
              <w:rPr>
                <w:rFonts w:ascii="Aptos" w:hAnsi="Aptos"/>
                <w:b/>
                <w:sz w:val="15"/>
              </w:rPr>
              <w:t>Who</w:t>
            </w:r>
          </w:p>
        </w:tc>
        <w:tc>
          <w:tcPr>
            <w:tcW w:type="dxa" w:w="1584"/>
            <w:shd w:fill="D9EAF7"/>
            <w:vAlign w:val="center"/>
          </w:tcPr>
          <w:p>
            <w:pPr>
              <w:spacing w:after="60"/>
            </w:pPr>
            <w:r>
              <w:rPr>
                <w:rFonts w:ascii="Aptos" w:hAnsi="Aptos"/>
                <w:sz w:val="15"/>
              </w:rPr>
            </w:r>
            <w:r>
              <w:rPr>
                <w:rFonts w:ascii="Aptos" w:hAnsi="Aptos"/>
                <w:b/>
                <w:sz w:val="15"/>
              </w:rPr>
              <w:t>Invoice Type</w:t>
            </w:r>
          </w:p>
        </w:tc>
        <w:tc>
          <w:tcPr>
            <w:tcW w:type="dxa" w:w="2016"/>
            <w:shd w:fill="D9EAF7"/>
            <w:vAlign w:val="center"/>
          </w:tcPr>
          <w:p>
            <w:pPr>
              <w:spacing w:after="60"/>
            </w:pPr>
            <w:r>
              <w:rPr>
                <w:rFonts w:ascii="Aptos" w:hAnsi="Aptos"/>
                <w:sz w:val="15"/>
              </w:rPr>
            </w:r>
            <w:r>
              <w:rPr>
                <w:rFonts w:ascii="Aptos" w:hAnsi="Aptos"/>
                <w:b/>
                <w:sz w:val="15"/>
              </w:rPr>
              <w:t>Purpose</w:t>
            </w:r>
          </w:p>
        </w:tc>
        <w:tc>
          <w:tcPr>
            <w:tcW w:type="dxa" w:w="1728"/>
            <w:shd w:fill="D9EAF7"/>
            <w:vAlign w:val="center"/>
          </w:tcPr>
          <w:p>
            <w:pPr>
              <w:spacing w:after="60"/>
            </w:pPr>
            <w:r>
              <w:rPr>
                <w:rFonts w:ascii="Aptos" w:hAnsi="Aptos"/>
                <w:sz w:val="15"/>
              </w:rPr>
            </w:r>
            <w:r>
              <w:rPr>
                <w:rFonts w:ascii="Aptos" w:hAnsi="Aptos"/>
                <w:b/>
                <w:sz w:val="15"/>
              </w:rPr>
              <w:t>Issued To</w:t>
            </w:r>
          </w:p>
        </w:tc>
        <w:tc>
          <w:tcPr>
            <w:tcW w:type="dxa" w:w="2448"/>
            <w:shd w:fill="D9EAF7"/>
            <w:vAlign w:val="center"/>
          </w:tcPr>
          <w:p>
            <w:pPr>
              <w:spacing w:after="60"/>
            </w:pPr>
            <w:r>
              <w:rPr>
                <w:rFonts w:ascii="Aptos" w:hAnsi="Aptos"/>
                <w:sz w:val="15"/>
              </w:rPr>
            </w:r>
            <w:r>
              <w:rPr>
                <w:rFonts w:ascii="Aptos" w:hAnsi="Aptos"/>
                <w:b/>
                <w:sz w:val="15"/>
              </w:rPr>
              <w:t>Mandatory When</w:t>
            </w:r>
          </w:p>
        </w:tc>
      </w:tr>
      <w:tr>
        <w:tc>
          <w:tcPr>
            <w:tcW w:type="dxa" w:w="2016"/>
            <w:vAlign w:val="top"/>
          </w:tcPr>
          <w:p>
            <w:pPr>
              <w:spacing w:after="60"/>
            </w:pPr>
            <w:r>
              <w:rPr>
                <w:rFonts w:ascii="Aptos" w:hAnsi="Aptos"/>
                <w:sz w:val="15"/>
              </w:rPr>
            </w:r>
            <w:r>
              <w:rPr>
                <w:rFonts w:ascii="Aptos" w:hAnsi="Aptos"/>
                <w:b w:val="0"/>
                <w:sz w:val="15"/>
              </w:rPr>
              <w:t>Avance Labs (marketplace)</w:t>
            </w:r>
          </w:p>
        </w:tc>
        <w:tc>
          <w:tcPr>
            <w:tcW w:type="dxa" w:w="1584"/>
            <w:vAlign w:val="top"/>
          </w:tcPr>
          <w:p>
            <w:pPr>
              <w:spacing w:after="60"/>
            </w:pPr>
            <w:r>
              <w:rPr>
                <w:rFonts w:ascii="Aptos" w:hAnsi="Aptos"/>
                <w:sz w:val="15"/>
              </w:rPr>
            </w:r>
            <w:r>
              <w:rPr>
                <w:rFonts w:ascii="Aptos" w:hAnsi="Aptos"/>
                <w:b w:val="0"/>
                <w:sz w:val="15"/>
              </w:rPr>
              <w:t>NFS-e</w:t>
            </w:r>
          </w:p>
        </w:tc>
        <w:tc>
          <w:tcPr>
            <w:tcW w:type="dxa" w:w="2016"/>
            <w:vAlign w:val="top"/>
          </w:tcPr>
          <w:p>
            <w:pPr>
              <w:spacing w:after="60"/>
            </w:pPr>
            <w:r>
              <w:rPr>
                <w:rFonts w:ascii="Aptos" w:hAnsi="Aptos"/>
                <w:sz w:val="15"/>
              </w:rPr>
            </w:r>
            <w:r>
              <w:rPr>
                <w:rFonts w:ascii="Aptos" w:hAnsi="Aptos"/>
                <w:b w:val="0"/>
                <w:sz w:val="15"/>
              </w:rPr>
              <w:t>Commission charged to seller</w:t>
            </w:r>
          </w:p>
        </w:tc>
        <w:tc>
          <w:tcPr>
            <w:tcW w:type="dxa" w:w="1728"/>
            <w:vAlign w:val="top"/>
          </w:tcPr>
          <w:p>
            <w:pPr>
              <w:spacing w:after="60"/>
            </w:pPr>
            <w:r>
              <w:rPr>
                <w:rFonts w:ascii="Aptos" w:hAnsi="Aptos"/>
                <w:sz w:val="15"/>
              </w:rPr>
            </w:r>
            <w:r>
              <w:rPr>
                <w:rFonts w:ascii="Aptos" w:hAnsi="Aptos"/>
                <w:b w:val="0"/>
                <w:sz w:val="15"/>
              </w:rPr>
              <w:t>Seller</w:t>
            </w:r>
          </w:p>
        </w:tc>
        <w:tc>
          <w:tcPr>
            <w:tcW w:type="dxa" w:w="2448"/>
            <w:vAlign w:val="top"/>
          </w:tcPr>
          <w:p>
            <w:pPr>
              <w:spacing w:after="60"/>
            </w:pPr>
            <w:r>
              <w:rPr>
                <w:rFonts w:ascii="Aptos" w:hAnsi="Aptos"/>
                <w:sz w:val="15"/>
              </w:rPr>
            </w:r>
            <w:r>
              <w:rPr>
                <w:rFonts w:ascii="Aptos" w:hAnsi="Aptos"/>
                <w:b w:val="0"/>
                <w:sz w:val="15"/>
              </w:rPr>
              <w:t>When the seller is a legal entity — always recommended</w:t>
            </w:r>
          </w:p>
        </w:tc>
      </w:tr>
      <w:tr>
        <w:tc>
          <w:tcPr>
            <w:tcW w:type="dxa" w:w="2016"/>
            <w:vAlign w:val="top"/>
          </w:tcPr>
          <w:p>
            <w:pPr>
              <w:spacing w:after="60"/>
            </w:pPr>
            <w:r>
              <w:rPr>
                <w:rFonts w:ascii="Aptos" w:hAnsi="Aptos"/>
                <w:sz w:val="15"/>
              </w:rPr>
            </w:r>
            <w:r>
              <w:rPr>
                <w:rFonts w:ascii="Aptos" w:hAnsi="Aptos"/>
                <w:b w:val="0"/>
                <w:sz w:val="15"/>
              </w:rPr>
              <w:t>Seller with CNPJ / MEI</w:t>
            </w:r>
          </w:p>
        </w:tc>
        <w:tc>
          <w:tcPr>
            <w:tcW w:type="dxa" w:w="1584"/>
            <w:vAlign w:val="top"/>
          </w:tcPr>
          <w:p>
            <w:pPr>
              <w:spacing w:after="60"/>
            </w:pPr>
            <w:r>
              <w:rPr>
                <w:rFonts w:ascii="Aptos" w:hAnsi="Aptos"/>
                <w:sz w:val="15"/>
              </w:rPr>
            </w:r>
            <w:r>
              <w:rPr>
                <w:rFonts w:ascii="Aptos" w:hAnsi="Aptos"/>
                <w:b w:val="0"/>
                <w:sz w:val="15"/>
              </w:rPr>
              <w:t>NF-e (model 55)</w:t>
            </w:r>
          </w:p>
        </w:tc>
        <w:tc>
          <w:tcPr>
            <w:tcW w:type="dxa" w:w="2016"/>
            <w:vAlign w:val="top"/>
          </w:tcPr>
          <w:p>
            <w:pPr>
              <w:spacing w:after="60"/>
            </w:pPr>
            <w:r>
              <w:rPr>
                <w:rFonts w:ascii="Aptos" w:hAnsi="Aptos"/>
                <w:sz w:val="15"/>
              </w:rPr>
            </w:r>
            <w:r>
              <w:rPr>
                <w:rFonts w:ascii="Aptos" w:hAnsi="Aptos"/>
                <w:b w:val="0"/>
                <w:sz w:val="15"/>
              </w:rPr>
              <w:t>Product sold</w:t>
            </w:r>
          </w:p>
        </w:tc>
        <w:tc>
          <w:tcPr>
            <w:tcW w:type="dxa" w:w="1728"/>
            <w:vAlign w:val="top"/>
          </w:tcPr>
          <w:p>
            <w:pPr>
              <w:spacing w:after="60"/>
            </w:pPr>
            <w:r>
              <w:rPr>
                <w:rFonts w:ascii="Aptos" w:hAnsi="Aptos"/>
                <w:sz w:val="15"/>
              </w:rPr>
            </w:r>
            <w:r>
              <w:rPr>
                <w:rFonts w:ascii="Aptos" w:hAnsi="Aptos"/>
                <w:b w:val="0"/>
                <w:sz w:val="15"/>
              </w:rPr>
              <w:t>Final buyer</w:t>
            </w:r>
          </w:p>
        </w:tc>
        <w:tc>
          <w:tcPr>
            <w:tcW w:type="dxa" w:w="2448"/>
            <w:vAlign w:val="top"/>
          </w:tcPr>
          <w:p>
            <w:pPr>
              <w:spacing w:after="60"/>
            </w:pPr>
            <w:r>
              <w:rPr>
                <w:rFonts w:ascii="Aptos" w:hAnsi="Aptos"/>
                <w:sz w:val="15"/>
              </w:rPr>
            </w:r>
            <w:r>
              <w:rPr>
                <w:rFonts w:ascii="Aptos" w:hAnsi="Aptos"/>
                <w:b w:val="0"/>
                <w:sz w:val="15"/>
              </w:rPr>
              <w:t>Always: mandatory for legal entities and required by platform policy for individuals</w:t>
            </w:r>
          </w:p>
        </w:tc>
      </w:tr>
      <w:tr>
        <w:tc>
          <w:tcPr>
            <w:tcW w:type="dxa" w:w="2016"/>
            <w:vAlign w:val="top"/>
          </w:tcPr>
          <w:p>
            <w:pPr>
              <w:spacing w:after="60"/>
            </w:pPr>
            <w:r>
              <w:rPr>
                <w:rFonts w:ascii="Aptos" w:hAnsi="Aptos"/>
                <w:sz w:val="15"/>
              </w:rPr>
            </w:r>
            <w:r>
              <w:rPr>
                <w:rFonts w:ascii="Aptos" w:hAnsi="Aptos"/>
                <w:b w:val="0"/>
                <w:sz w:val="15"/>
              </w:rPr>
              <w:t>Individual seller (Phase 1)</w:t>
            </w:r>
          </w:p>
        </w:tc>
        <w:tc>
          <w:tcPr>
            <w:tcW w:type="dxa" w:w="1584"/>
            <w:vAlign w:val="top"/>
          </w:tcPr>
          <w:p>
            <w:pPr>
              <w:spacing w:after="60"/>
            </w:pPr>
            <w:r>
              <w:rPr>
                <w:rFonts w:ascii="Aptos" w:hAnsi="Aptos"/>
                <w:sz w:val="15"/>
              </w:rPr>
            </w:r>
            <w:r>
              <w:rPr>
                <w:rFonts w:ascii="Aptos" w:hAnsi="Aptos"/>
                <w:b w:val="0"/>
                <w:sz w:val="15"/>
              </w:rPr>
              <w:t>Does not issue regular NF-e</w:t>
            </w:r>
          </w:p>
        </w:tc>
        <w:tc>
          <w:tcPr>
            <w:tcW w:type="dxa" w:w="2016"/>
            <w:vAlign w:val="top"/>
          </w:tcPr>
          <w:p>
            <w:pPr>
              <w:spacing w:after="60"/>
            </w:pPr>
            <w:r>
              <w:rPr>
                <w:rFonts w:ascii="Aptos" w:hAnsi="Aptos"/>
                <w:sz w:val="15"/>
              </w:rPr>
            </w:r>
            <w:r>
              <w:rPr>
                <w:rFonts w:ascii="Aptos" w:hAnsi="Aptos"/>
                <w:b w:val="0"/>
                <w:sz w:val="15"/>
              </w:rPr>
              <w:t>—</w:t>
            </w:r>
          </w:p>
        </w:tc>
        <w:tc>
          <w:tcPr>
            <w:tcW w:type="dxa" w:w="1728"/>
            <w:vAlign w:val="top"/>
          </w:tcPr>
          <w:p>
            <w:pPr>
              <w:spacing w:after="60"/>
            </w:pPr>
            <w:r>
              <w:rPr>
                <w:rFonts w:ascii="Aptos" w:hAnsi="Aptos"/>
                <w:sz w:val="15"/>
              </w:rPr>
            </w:r>
            <w:r>
              <w:rPr>
                <w:rFonts w:ascii="Aptos" w:hAnsi="Aptos"/>
                <w:b w:val="0"/>
                <w:sz w:val="15"/>
              </w:rPr>
              <w:t>—</w:t>
            </w:r>
          </w:p>
        </w:tc>
        <w:tc>
          <w:tcPr>
            <w:tcW w:type="dxa" w:w="2448"/>
            <w:vAlign w:val="top"/>
          </w:tcPr>
          <w:p>
            <w:pPr>
              <w:spacing w:after="60"/>
            </w:pPr>
            <w:r>
              <w:rPr>
                <w:rFonts w:ascii="Aptos" w:hAnsi="Aptos"/>
                <w:sz w:val="15"/>
              </w:rPr>
            </w:r>
            <w:r>
              <w:rPr>
                <w:rFonts w:ascii="Aptos" w:hAnsi="Aptos"/>
                <w:b w:val="0"/>
                <w:sz w:val="15"/>
              </w:rPr>
              <w:t>Artificial volume limitation as risk mitigation</w:t>
            </w:r>
          </w:p>
        </w:tc>
      </w:tr>
      <w:tr>
        <w:tc>
          <w:tcPr>
            <w:tcW w:type="dxa" w:w="2016"/>
            <w:vAlign w:val="top"/>
          </w:tcPr>
          <w:p>
            <w:pPr>
              <w:spacing w:after="60"/>
            </w:pPr>
            <w:r>
              <w:rPr>
                <w:rFonts w:ascii="Aptos" w:hAnsi="Aptos"/>
                <w:sz w:val="15"/>
              </w:rPr>
            </w:r>
            <w:r>
              <w:rPr>
                <w:rFonts w:ascii="Aptos" w:hAnsi="Aptos"/>
                <w:b w:val="0"/>
                <w:sz w:val="15"/>
              </w:rPr>
              <w:t>Avance Labs (own shirts)</w:t>
            </w:r>
          </w:p>
        </w:tc>
        <w:tc>
          <w:tcPr>
            <w:tcW w:type="dxa" w:w="1584"/>
            <w:vAlign w:val="top"/>
          </w:tcPr>
          <w:p>
            <w:pPr>
              <w:spacing w:after="60"/>
            </w:pPr>
            <w:r>
              <w:rPr>
                <w:rFonts w:ascii="Aptos" w:hAnsi="Aptos"/>
                <w:sz w:val="15"/>
              </w:rPr>
            </w:r>
            <w:r>
              <w:rPr>
                <w:rFonts w:ascii="Aptos" w:hAnsi="Aptos"/>
                <w:b w:val="0"/>
                <w:sz w:val="15"/>
              </w:rPr>
              <w:t>NF-e (model 55)</w:t>
            </w:r>
          </w:p>
        </w:tc>
        <w:tc>
          <w:tcPr>
            <w:tcW w:type="dxa" w:w="2016"/>
            <w:vAlign w:val="top"/>
          </w:tcPr>
          <w:p>
            <w:pPr>
              <w:spacing w:after="60"/>
            </w:pPr>
            <w:r>
              <w:rPr>
                <w:rFonts w:ascii="Aptos" w:hAnsi="Aptos"/>
                <w:sz w:val="15"/>
              </w:rPr>
            </w:r>
            <w:r>
              <w:rPr>
                <w:rFonts w:ascii="Aptos" w:hAnsi="Aptos"/>
                <w:b w:val="0"/>
                <w:sz w:val="15"/>
              </w:rPr>
              <w:t>Product sold by Avance Labs</w:t>
            </w:r>
          </w:p>
        </w:tc>
        <w:tc>
          <w:tcPr>
            <w:tcW w:type="dxa" w:w="1728"/>
            <w:vAlign w:val="top"/>
          </w:tcPr>
          <w:p>
            <w:pPr>
              <w:spacing w:after="60"/>
            </w:pPr>
            <w:r>
              <w:rPr>
                <w:rFonts w:ascii="Aptos" w:hAnsi="Aptos"/>
                <w:sz w:val="15"/>
              </w:rPr>
            </w:r>
            <w:r>
              <w:rPr>
                <w:rFonts w:ascii="Aptos" w:hAnsi="Aptos"/>
                <w:b w:val="0"/>
                <w:sz w:val="15"/>
              </w:rPr>
              <w:t>Final buyer</w:t>
            </w:r>
          </w:p>
        </w:tc>
        <w:tc>
          <w:tcPr>
            <w:tcW w:type="dxa" w:w="2448"/>
            <w:vAlign w:val="top"/>
          </w:tcPr>
          <w:p>
            <w:pPr>
              <w:spacing w:after="60"/>
            </w:pPr>
            <w:r>
              <w:rPr>
                <w:rFonts w:ascii="Aptos" w:hAnsi="Aptos"/>
                <w:sz w:val="15"/>
              </w:rPr>
            </w:r>
            <w:r>
              <w:rPr>
                <w:rFonts w:ascii="Aptos" w:hAnsi="Aptos"/>
                <w:b w:val="0"/>
                <w:sz w:val="15"/>
              </w:rPr>
              <w:t>Always: mandatory for legal entities and recommended for individuals</w:t>
            </w:r>
          </w:p>
        </w:tc>
      </w:tr>
    </w:tbl>
    <w:p/>
    <w:p>
      <w:pPr>
        <w:pStyle w:val="Heading2"/>
      </w:pPr>
      <w:r>
        <w:t>2.5 NT 2020.006 — Mandatory Fields in Sellers’ NF-e</w:t>
      </w:r>
    </w:p>
    <w:p>
      <w:pPr>
        <w:pStyle w:val="ListBullet"/>
      </w:pPr>
      <w:r>
        <w:t>Every NF-e issued by a seller who sells through a marketplace must fill in specific fields.</w:t>
      </w:r>
    </w:p>
    <w:p>
      <w:pPr>
        <w:pStyle w:val="ListBullet"/>
      </w:pPr>
      <w:r>
        <w:t>indIntermed = 1, indicating an operation with an intermediary.</w:t>
      </w:r>
    </w:p>
    <w:p>
      <w:pPr>
        <w:pStyle w:val="ListBullet"/>
      </w:pPr>
      <w:r>
        <w:t>The marketplace CNPJ (Avance Labs) in the infIntermed field.</w:t>
      </w:r>
    </w:p>
    <w:p>
      <w:pPr>
        <w:pStyle w:val="ListBullet"/>
      </w:pPr>
      <w:r>
        <w:t>The seller ID within the Arena dos Mantos platform.</w:t>
      </w:r>
    </w:p>
    <w:p>
      <w:pPr>
        <w:pStyle w:val="ListBullet"/>
      </w:pPr>
      <w:r>
        <w:t>The Pagar.me CNPJ as the payment institution / acquirer.</w:t>
      </w:r>
    </w:p>
    <w:p>
      <w:pPr>
        <w:pStyle w:val="Heading2"/>
      </w:pPr>
      <w:r>
        <w:t>2.6 Tax Reform — LC 214/2025</w:t>
      </w:r>
    </w:p>
    <w:tbl>
      <w:tblPr>
        <w:tblW w:type="auto" w:w="0"/>
        <w:jc w:val="center"/>
        <w:tblLook w:firstColumn="1" w:firstRow="1" w:lastColumn="0" w:lastRow="0" w:noHBand="0" w:noVBand="1" w:val="04A0"/>
      </w:tblPr>
      <w:tblGrid>
        <w:gridCol w:w="10080"/>
      </w:tblGrid>
      <w:tr>
        <w:tc>
          <w:tcPr>
            <w:tcW w:type="dxa" w:w="10080"/>
            <w:shd w:fill="FCE4D6"/>
          </w:tcPr>
          <w:p>
            <w:pPr>
              <w:spacing w:after="60"/>
            </w:pPr>
            <w:r>
              <w:rPr>
                <w:rFonts w:ascii="Aptos" w:hAnsi="Aptos"/>
                <w:sz w:val="15"/>
              </w:rPr>
            </w:r>
            <w:r>
              <w:rPr>
                <w:rFonts w:ascii="Aptos" w:hAnsi="Aptos"/>
                <w:b/>
                <w:sz w:val="20"/>
              </w:rPr>
              <w:t>MARKETPLACE JOINT LIABILITY</w:t>
            </w:r>
          </w:p>
          <w:p>
            <w:pPr>
              <w:spacing w:after="60"/>
            </w:pPr>
            <w:r>
              <w:rPr>
                <w:rFonts w:ascii="Aptos" w:hAnsi="Aptos"/>
                <w:sz w:val="18"/>
              </w:rPr>
              <w:t>Article 22 of LC 214/2025 establishes that the marketplace is jointly liable for IBS and CBS when the seller, as the taxpayer, does not issue an electronic tax document. This is especially critical for individual sellers who do not issue invoices. Fiscal split payment enters production in 2027. Arena dos Mantos should have all sellers registered as CNPJ holders before the beginning of 2027.</w:t>
            </w:r>
          </w:p>
        </w:tc>
      </w:tr>
    </w:tbl>
    <w:p/>
    <w:p>
      <w:pPr>
        <w:pStyle w:val="Heading3"/>
      </w:pPr>
      <w:r>
        <w:t>Tax Reform Timeline</w:t>
      </w:r>
    </w:p>
    <w:p>
      <w:pPr>
        <w:pStyle w:val="ListBullet"/>
      </w:pPr>
      <w:r>
        <w:t>August 2026: companies outside Simples Nacional begin highlighting CBS on invoices.</w:t>
      </w:r>
    </w:p>
    <w:p>
      <w:pPr>
        <w:pStyle w:val="ListBullet"/>
      </w:pPr>
      <w:r>
        <w:t>2027: fiscal split payment enters production, with automatic withholding of IBS/CBS at the time of payment.</w:t>
      </w:r>
    </w:p>
    <w:p>
      <w:pPr>
        <w:pStyle w:val="ListBullet"/>
      </w:pPr>
      <w:r>
        <w:t>Recommendation: migrate all sellers to CNPJ before the end of 2026.</w:t>
      </w:r>
    </w:p>
    <w:p>
      <w:pPr>
        <w:pStyle w:val="Heading1"/>
      </w:pPr>
      <w:r>
        <w:t>3. Pagar.me and Payment Split</w:t>
      </w:r>
    </w:p>
    <w:p>
      <w:pPr>
        <w:pStyle w:val="Heading2"/>
      </w:pPr>
      <w:r>
        <w:t>What Pagar.me Does</w:t>
      </w:r>
    </w:p>
    <w:p>
      <w:pPr>
        <w:pStyle w:val="ListBullet"/>
      </w:pPr>
      <w:r>
        <w:t>Processes payments: credit card, PIX, and boleto.</w:t>
      </w:r>
    </w:p>
    <w:p>
      <w:pPr>
        <w:pStyle w:val="ListBullet"/>
      </w:pPr>
      <w:r>
        <w:t>Executes automatic split: divides the amount between Avance Labs (commission) and the seller.</w:t>
      </w:r>
    </w:p>
    <w:p>
      <w:pPr>
        <w:pStyle w:val="ListBullet"/>
      </w:pPr>
      <w:r>
        <w:t>Provides centralized settlement through the CIP grid (Brazilian Central Bank Circular 3,815/2016).</w:t>
      </w:r>
    </w:p>
    <w:p>
      <w:pPr>
        <w:pStyle w:val="ListBullet"/>
      </w:pPr>
      <w:r>
        <w:t>Provides financial reconciliation, receivables anticipation, and chargeback management.</w:t>
      </w:r>
    </w:p>
    <w:p>
      <w:pPr>
        <w:pStyle w:val="ListBullet"/>
      </w:pPr>
      <w:r>
        <w:t>Issues its own NFS-e for the payment processing service provided to the marketplace.</w:t>
      </w:r>
    </w:p>
    <w:p>
      <w:pPr>
        <w:pStyle w:val="Heading2"/>
      </w:pPr>
      <w:r>
        <w:t>What Pagar.me Does Not Do</w:t>
      </w:r>
    </w:p>
    <w:p>
      <w:pPr>
        <w:pStyle w:val="ListBullet"/>
      </w:pPr>
      <w:r>
        <w:t>Does not issue Avance Labs’ NFS-e for commissions.</w:t>
      </w:r>
    </w:p>
    <w:p>
      <w:pPr>
        <w:pStyle w:val="ListBullet"/>
      </w:pPr>
      <w:r>
        <w:t>Does not issue sellers’ NF-e for products.</w:t>
      </w:r>
    </w:p>
    <w:p>
      <w:pPr>
        <w:pStyle w:val="ListBullet"/>
      </w:pPr>
      <w:r>
        <w:t>Does not calculate or collect taxes such as ICMS, ISS, IBS, or CBS.</w:t>
      </w:r>
    </w:p>
    <w:p>
      <w:pPr>
        <w:pStyle w:val="Heading2"/>
      </w:pPr>
      <w:r>
        <w:t>Financial Flow of a Sale — Example: Shirt Sold for R$100</w:t>
      </w:r>
    </w:p>
    <w:p>
      <w:pPr>
        <w:pStyle w:val="ListBullet"/>
      </w:pPr>
      <w:r>
        <w:t>Buyer pays: R$100 product + shipping, for example R$20, totaling R$120.</w:t>
      </w:r>
    </w:p>
    <w:p>
      <w:pPr>
        <w:pStyle w:val="ListBullet"/>
      </w:pPr>
      <w:r>
        <w:t>Pagar.me retains R$4, equivalent to 4% over R$100, as the operational cost.</w:t>
      </w:r>
    </w:p>
    <w:p>
      <w:pPr>
        <w:pStyle w:val="ListBullet"/>
      </w:pPr>
      <w:r>
        <w:t>Avance Labs receives R$7 as commission plus the shipping markup.</w:t>
      </w:r>
    </w:p>
    <w:p>
      <w:pPr>
        <w:pStyle w:val="ListBullet"/>
      </w:pPr>
      <w:r>
        <w:t>The seller receives R$89 net.</w:t>
      </w:r>
    </w:p>
    <w:p>
      <w:pPr>
        <w:pStyle w:val="ListBullet"/>
      </w:pPr>
      <w:r>
        <w:t>Avance Labs pays the shipping label, for example R$10 through Melhor Envio, and keeps the markup difference.</w:t>
      </w:r>
    </w:p>
    <w:p>
      <w:pPr>
        <w:pStyle w:val="Heading1"/>
      </w:pPr>
      <w:r>
        <w:t>4. Recommended Fiscal Solutions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D9EAF7"/>
            <w:vAlign w:val="center"/>
          </w:tcPr>
          <w:p>
            <w:pPr>
              <w:spacing w:after="60"/>
            </w:pPr>
            <w:r>
              <w:rPr>
                <w:rFonts w:ascii="Aptos" w:hAnsi="Aptos"/>
                <w:sz w:val="15"/>
              </w:rPr>
            </w:r>
            <w:r>
              <w:rPr>
                <w:rFonts w:ascii="Aptos" w:hAnsi="Aptos"/>
                <w:b/>
                <w:sz w:val="15"/>
              </w:rPr>
              <w:t>Solution</w:t>
            </w:r>
          </w:p>
        </w:tc>
        <w:tc>
          <w:tcPr>
            <w:tcW w:type="dxa" w:w="2880"/>
            <w:shd w:fill="D9EAF7"/>
            <w:vAlign w:val="center"/>
          </w:tcPr>
          <w:p>
            <w:pPr>
              <w:spacing w:after="60"/>
            </w:pPr>
            <w:r>
              <w:rPr>
                <w:rFonts w:ascii="Aptos" w:hAnsi="Aptos"/>
                <w:sz w:val="15"/>
              </w:rPr>
            </w:r>
            <w:r>
              <w:rPr>
                <w:rFonts w:ascii="Aptos" w:hAnsi="Aptos"/>
                <w:b/>
                <w:sz w:val="15"/>
              </w:rPr>
              <w:t>Purpose</w:t>
            </w:r>
          </w:p>
        </w:tc>
        <w:tc>
          <w:tcPr>
            <w:tcW w:type="dxa" w:w="2016"/>
            <w:shd w:fill="D9EAF7"/>
            <w:vAlign w:val="center"/>
          </w:tcPr>
          <w:p>
            <w:pPr>
              <w:spacing w:after="60"/>
            </w:pPr>
            <w:r>
              <w:rPr>
                <w:rFonts w:ascii="Aptos" w:hAnsi="Aptos"/>
                <w:sz w:val="15"/>
              </w:rPr>
            </w:r>
            <w:r>
              <w:rPr>
                <w:rFonts w:ascii="Aptos" w:hAnsi="Aptos"/>
                <w:b/>
                <w:sz w:val="15"/>
              </w:rPr>
              <w:t>Estimated Cost</w:t>
            </w:r>
          </w:p>
        </w:tc>
        <w:tc>
          <w:tcPr>
            <w:tcW w:type="dxa" w:w="1728"/>
            <w:shd w:fill="D9EAF7"/>
            <w:vAlign w:val="center"/>
          </w:tcPr>
          <w:p>
            <w:pPr>
              <w:spacing w:after="60"/>
            </w:pPr>
            <w:r>
              <w:rPr>
                <w:rFonts w:ascii="Aptos" w:hAnsi="Aptos"/>
                <w:sz w:val="15"/>
              </w:rPr>
            </w:r>
            <w:r>
              <w:rPr>
                <w:rFonts w:ascii="Aptos" w:hAnsi="Aptos"/>
                <w:b/>
                <w:sz w:val="15"/>
              </w:rPr>
              <w:t>Who Pays</w:t>
            </w:r>
          </w:p>
        </w:tc>
      </w:tr>
      <w:tr>
        <w:tc>
          <w:tcPr>
            <w:tcW w:type="dxa" w:w="1872"/>
            <w:vAlign w:val="top"/>
          </w:tcPr>
          <w:p>
            <w:pPr>
              <w:spacing w:after="60"/>
            </w:pPr>
            <w:r>
              <w:rPr>
                <w:rFonts w:ascii="Aptos" w:hAnsi="Aptos"/>
                <w:sz w:val="15"/>
              </w:rPr>
            </w:r>
            <w:r>
              <w:rPr>
                <w:rFonts w:ascii="Aptos" w:hAnsi="Aptos"/>
                <w:b w:val="0"/>
                <w:sz w:val="15"/>
              </w:rPr>
              <w:t>Focus NFe (API)</w:t>
            </w:r>
          </w:p>
        </w:tc>
        <w:tc>
          <w:tcPr>
            <w:tcW w:type="dxa" w:w="2880"/>
            <w:vAlign w:val="top"/>
          </w:tcPr>
          <w:p>
            <w:pPr>
              <w:spacing w:after="60"/>
            </w:pPr>
            <w:r>
              <w:rPr>
                <w:rFonts w:ascii="Aptos" w:hAnsi="Aptos"/>
                <w:sz w:val="15"/>
              </w:rPr>
            </w:r>
            <w:r>
              <w:rPr>
                <w:rFonts w:ascii="Aptos" w:hAnsi="Aptos"/>
                <w:b w:val="0"/>
                <w:sz w:val="15"/>
              </w:rPr>
              <w:t>Avance Labs NFS-e for marketplace commissions</w:t>
            </w:r>
          </w:p>
        </w:tc>
        <w:tc>
          <w:tcPr>
            <w:tcW w:type="dxa" w:w="2016"/>
            <w:vAlign w:val="top"/>
          </w:tcPr>
          <w:p>
            <w:pPr>
              <w:spacing w:after="60"/>
            </w:pPr>
            <w:r>
              <w:rPr>
                <w:rFonts w:ascii="Aptos" w:hAnsi="Aptos"/>
                <w:sz w:val="15"/>
              </w:rPr>
            </w:r>
            <w:r>
              <w:rPr>
                <w:rFonts w:ascii="Aptos" w:hAnsi="Aptos"/>
                <w:b w:val="0"/>
                <w:sz w:val="15"/>
              </w:rPr>
              <w:t>R$90/month (Solo plan)</w:t>
            </w:r>
          </w:p>
        </w:tc>
        <w:tc>
          <w:tcPr>
            <w:tcW w:type="dxa" w:w="1728"/>
            <w:vAlign w:val="top"/>
          </w:tcPr>
          <w:p>
            <w:pPr>
              <w:spacing w:after="60"/>
            </w:pPr>
            <w:r>
              <w:rPr>
                <w:rFonts w:ascii="Aptos" w:hAnsi="Aptos"/>
                <w:sz w:val="15"/>
              </w:rPr>
            </w:r>
            <w:r>
              <w:rPr>
                <w:rFonts w:ascii="Aptos" w:hAnsi="Aptos"/>
                <w:b w:val="0"/>
                <w:sz w:val="15"/>
              </w:rPr>
              <w:t>Avance Labs</w:t>
            </w:r>
          </w:p>
        </w:tc>
      </w:tr>
      <w:tr>
        <w:tc>
          <w:tcPr>
            <w:tcW w:type="dxa" w:w="1872"/>
            <w:vAlign w:val="top"/>
          </w:tcPr>
          <w:p>
            <w:pPr>
              <w:spacing w:after="60"/>
            </w:pPr>
            <w:r>
              <w:rPr>
                <w:rFonts w:ascii="Aptos" w:hAnsi="Aptos"/>
                <w:sz w:val="15"/>
              </w:rPr>
            </w:r>
            <w:r>
              <w:rPr>
                <w:rFonts w:ascii="Aptos" w:hAnsi="Aptos"/>
                <w:b w:val="0"/>
                <w:sz w:val="15"/>
              </w:rPr>
              <w:t>Bling ERP</w:t>
            </w:r>
          </w:p>
        </w:tc>
        <w:tc>
          <w:tcPr>
            <w:tcW w:type="dxa" w:w="2880"/>
            <w:vAlign w:val="top"/>
          </w:tcPr>
          <w:p>
            <w:pPr>
              <w:spacing w:after="60"/>
            </w:pPr>
            <w:r>
              <w:rPr>
                <w:rFonts w:ascii="Aptos" w:hAnsi="Aptos"/>
                <w:sz w:val="15"/>
              </w:rPr>
            </w:r>
            <w:r>
              <w:rPr>
                <w:rFonts w:ascii="Aptos" w:hAnsi="Aptos"/>
                <w:b w:val="0"/>
                <w:sz w:val="15"/>
              </w:rPr>
              <w:t>Sellers with CNPJ/MEI manage their own NF-e</w:t>
            </w:r>
          </w:p>
        </w:tc>
        <w:tc>
          <w:tcPr>
            <w:tcW w:type="dxa" w:w="2016"/>
            <w:vAlign w:val="top"/>
          </w:tcPr>
          <w:p>
            <w:pPr>
              <w:spacing w:after="60"/>
            </w:pPr>
            <w:r>
              <w:rPr>
                <w:rFonts w:ascii="Aptos" w:hAnsi="Aptos"/>
                <w:sz w:val="15"/>
              </w:rPr>
            </w:r>
            <w:r>
              <w:rPr>
                <w:rFonts w:ascii="Aptos" w:hAnsi="Aptos"/>
                <w:b w:val="0"/>
                <w:sz w:val="15"/>
              </w:rPr>
              <w:t>R$55–109/month per seller</w:t>
            </w:r>
          </w:p>
        </w:tc>
        <w:tc>
          <w:tcPr>
            <w:tcW w:type="dxa" w:w="1728"/>
            <w:vAlign w:val="top"/>
          </w:tcPr>
          <w:p>
            <w:pPr>
              <w:spacing w:after="60"/>
            </w:pPr>
            <w:r>
              <w:rPr>
                <w:rFonts w:ascii="Aptos" w:hAnsi="Aptos"/>
                <w:sz w:val="15"/>
              </w:rPr>
            </w:r>
            <w:r>
              <w:rPr>
                <w:rFonts w:ascii="Aptos" w:hAnsi="Aptos"/>
                <w:b w:val="0"/>
                <w:sz w:val="15"/>
              </w:rPr>
              <w:t>Seller</w:t>
            </w:r>
          </w:p>
        </w:tc>
      </w:tr>
      <w:tr>
        <w:tc>
          <w:tcPr>
            <w:tcW w:type="dxa" w:w="1872"/>
            <w:vAlign w:val="top"/>
          </w:tcPr>
          <w:p>
            <w:pPr>
              <w:spacing w:after="60"/>
            </w:pPr>
            <w:r>
              <w:rPr>
                <w:rFonts w:ascii="Aptos" w:hAnsi="Aptos"/>
                <w:sz w:val="15"/>
              </w:rPr>
            </w:r>
            <w:r>
              <w:rPr>
                <w:rFonts w:ascii="Aptos" w:hAnsi="Aptos"/>
                <w:b w:val="0"/>
                <w:sz w:val="15"/>
              </w:rPr>
              <w:t>Specialized accountant</w:t>
            </w:r>
          </w:p>
        </w:tc>
        <w:tc>
          <w:tcPr>
            <w:tcW w:type="dxa" w:w="2880"/>
            <w:vAlign w:val="top"/>
          </w:tcPr>
          <w:p>
            <w:pPr>
              <w:spacing w:after="60"/>
            </w:pPr>
            <w:r>
              <w:rPr>
                <w:rFonts w:ascii="Aptos" w:hAnsi="Aptos"/>
                <w:sz w:val="15"/>
              </w:rPr>
            </w:r>
            <w:r>
              <w:rPr>
                <w:rFonts w:ascii="Aptos" w:hAnsi="Aptos"/>
                <w:b w:val="0"/>
                <w:sz w:val="15"/>
              </w:rPr>
              <w:t>Tax calculation, SPED, DAS, compliance</w:t>
            </w:r>
          </w:p>
        </w:tc>
        <w:tc>
          <w:tcPr>
            <w:tcW w:type="dxa" w:w="2016"/>
            <w:vAlign w:val="top"/>
          </w:tcPr>
          <w:p>
            <w:pPr>
              <w:spacing w:after="60"/>
            </w:pPr>
            <w:r>
              <w:rPr>
                <w:rFonts w:ascii="Aptos" w:hAnsi="Aptos"/>
                <w:sz w:val="15"/>
              </w:rPr>
            </w:r>
            <w:r>
              <w:rPr>
                <w:rFonts w:ascii="Aptos" w:hAnsi="Aptos"/>
                <w:b w:val="0"/>
                <w:sz w:val="15"/>
              </w:rPr>
              <w:t>R$500–1,500/month</w:t>
            </w:r>
          </w:p>
        </w:tc>
        <w:tc>
          <w:tcPr>
            <w:tcW w:type="dxa" w:w="1728"/>
            <w:vAlign w:val="top"/>
          </w:tcPr>
          <w:p>
            <w:pPr>
              <w:spacing w:after="60"/>
            </w:pPr>
            <w:r>
              <w:rPr>
                <w:rFonts w:ascii="Aptos" w:hAnsi="Aptos"/>
                <w:sz w:val="15"/>
              </w:rPr>
            </w:r>
            <w:r>
              <w:rPr>
                <w:rFonts w:ascii="Aptos" w:hAnsi="Aptos"/>
                <w:b w:val="0"/>
                <w:sz w:val="15"/>
              </w:rPr>
              <w:t>Avance Labs</w:t>
            </w:r>
          </w:p>
        </w:tc>
      </w:tr>
      <w:tr>
        <w:tc>
          <w:tcPr>
            <w:tcW w:type="dxa" w:w="1872"/>
            <w:vAlign w:val="top"/>
          </w:tcPr>
          <w:p>
            <w:pPr>
              <w:spacing w:after="60"/>
            </w:pPr>
            <w:r>
              <w:rPr>
                <w:rFonts w:ascii="Aptos" w:hAnsi="Aptos"/>
                <w:sz w:val="15"/>
              </w:rPr>
            </w:r>
            <w:r>
              <w:rPr>
                <w:rFonts w:ascii="Aptos" w:hAnsi="Aptos"/>
                <w:b w:val="0"/>
                <w:sz w:val="15"/>
              </w:rPr>
              <w:t>Lawyer (one-off)</w:t>
            </w:r>
          </w:p>
        </w:tc>
        <w:tc>
          <w:tcPr>
            <w:tcW w:type="dxa" w:w="2880"/>
            <w:vAlign w:val="top"/>
          </w:tcPr>
          <w:p>
            <w:pPr>
              <w:spacing w:after="60"/>
            </w:pPr>
            <w:r>
              <w:rPr>
                <w:rFonts w:ascii="Aptos" w:hAnsi="Aptos"/>
                <w:sz w:val="15"/>
              </w:rPr>
            </w:r>
            <w:r>
              <w:rPr>
                <w:rFonts w:ascii="Aptos" w:hAnsi="Aptos"/>
                <w:b w:val="0"/>
                <w:sz w:val="15"/>
              </w:rPr>
              <w:t>Terms of use, invoice clauses, intellectual property</w:t>
            </w:r>
          </w:p>
        </w:tc>
        <w:tc>
          <w:tcPr>
            <w:tcW w:type="dxa" w:w="2016"/>
            <w:vAlign w:val="top"/>
          </w:tcPr>
          <w:p>
            <w:pPr>
              <w:spacing w:after="60"/>
            </w:pPr>
            <w:r>
              <w:rPr>
                <w:rFonts w:ascii="Aptos" w:hAnsi="Aptos"/>
                <w:sz w:val="15"/>
              </w:rPr>
            </w:r>
            <w:r>
              <w:rPr>
                <w:rFonts w:ascii="Aptos" w:hAnsi="Aptos"/>
                <w:b w:val="0"/>
                <w:sz w:val="15"/>
              </w:rPr>
              <w:t>R$2,000–6,000 one-off</w:t>
            </w:r>
          </w:p>
        </w:tc>
        <w:tc>
          <w:tcPr>
            <w:tcW w:type="dxa" w:w="1728"/>
            <w:vAlign w:val="top"/>
          </w:tcPr>
          <w:p>
            <w:pPr>
              <w:spacing w:after="60"/>
            </w:pPr>
            <w:r>
              <w:rPr>
                <w:rFonts w:ascii="Aptos" w:hAnsi="Aptos"/>
                <w:sz w:val="15"/>
              </w:rPr>
            </w:r>
            <w:r>
              <w:rPr>
                <w:rFonts w:ascii="Aptos" w:hAnsi="Aptos"/>
                <w:b w:val="0"/>
                <w:sz w:val="15"/>
              </w:rPr>
              <w:t>Avance Labs</w:t>
            </w:r>
          </w:p>
        </w:tc>
      </w:tr>
      <w:tr>
        <w:tc>
          <w:tcPr>
            <w:tcW w:type="dxa" w:w="1872"/>
            <w:vAlign w:val="top"/>
          </w:tcPr>
          <w:p>
            <w:pPr>
              <w:spacing w:after="60"/>
            </w:pPr>
            <w:r>
              <w:rPr>
                <w:rFonts w:ascii="Aptos" w:hAnsi="Aptos"/>
                <w:sz w:val="15"/>
              </w:rPr>
            </w:r>
            <w:r>
              <w:rPr>
                <w:rFonts w:ascii="Aptos" w:hAnsi="Aptos"/>
                <w:b w:val="0"/>
                <w:sz w:val="15"/>
              </w:rPr>
              <w:t>INPI — trademark registration</w:t>
            </w:r>
          </w:p>
        </w:tc>
        <w:tc>
          <w:tcPr>
            <w:tcW w:type="dxa" w:w="2880"/>
            <w:vAlign w:val="top"/>
          </w:tcPr>
          <w:p>
            <w:pPr>
              <w:spacing w:after="60"/>
            </w:pPr>
            <w:r>
              <w:rPr>
                <w:rFonts w:ascii="Aptos" w:hAnsi="Aptos"/>
                <w:sz w:val="15"/>
              </w:rPr>
            </w:r>
            <w:r>
              <w:rPr>
                <w:rFonts w:ascii="Aptos" w:hAnsi="Aptos"/>
                <w:b w:val="0"/>
                <w:sz w:val="15"/>
              </w:rPr>
              <w:t>Protect the Arena dos Mantos name</w:t>
            </w:r>
          </w:p>
        </w:tc>
        <w:tc>
          <w:tcPr>
            <w:tcW w:type="dxa" w:w="2016"/>
            <w:vAlign w:val="top"/>
          </w:tcPr>
          <w:p>
            <w:pPr>
              <w:spacing w:after="60"/>
            </w:pPr>
            <w:r>
              <w:rPr>
                <w:rFonts w:ascii="Aptos" w:hAnsi="Aptos"/>
                <w:sz w:val="15"/>
              </w:rPr>
            </w:r>
            <w:r>
              <w:rPr>
                <w:rFonts w:ascii="Aptos" w:hAnsi="Aptos"/>
                <w:b w:val="0"/>
                <w:sz w:val="15"/>
              </w:rPr>
              <w:t>Approximately R$350 + legal fees</w:t>
            </w:r>
          </w:p>
        </w:tc>
        <w:tc>
          <w:tcPr>
            <w:tcW w:type="dxa" w:w="1728"/>
            <w:vAlign w:val="top"/>
          </w:tcPr>
          <w:p>
            <w:pPr>
              <w:spacing w:after="60"/>
            </w:pPr>
            <w:r>
              <w:rPr>
                <w:rFonts w:ascii="Aptos" w:hAnsi="Aptos"/>
                <w:sz w:val="15"/>
              </w:rPr>
            </w:r>
            <w:r>
              <w:rPr>
                <w:rFonts w:ascii="Aptos" w:hAnsi="Aptos"/>
                <w:b w:val="0"/>
                <w:sz w:val="15"/>
              </w:rPr>
              <w:t>Avance Labs</w:t>
            </w:r>
          </w:p>
        </w:tc>
      </w:tr>
    </w:tbl>
    <w:p/>
    <w:p>
      <w:pPr>
        <w:pStyle w:val="Heading2"/>
      </w:pPr>
      <w:r>
        <w:t>Internal Invoice Issuer — Phase 2, Mercado Livre Style</w:t>
      </w:r>
    </w:p>
    <w:p>
      <w:r>
        <w:t>Mercado Livre built a free internal invoice issuer for sellers. The seller configures the A1 digital certificate and fiscal data once, and the NF-e is then generated automatically for each sale. Arena dos Mantos should build an equivalent tool in Phase 2 using one of the following tax APIs as backend:</w:t>
      </w:r>
    </w:p>
    <w:p>
      <w:pPr>
        <w:pStyle w:val="ListBullet"/>
      </w:pPr>
      <w:r>
        <w:t>Focus NFe: focused on marketplaces and supports NFS-e in more than 1,000 municipalities.</w:t>
      </w:r>
    </w:p>
    <w:p>
      <w:pPr>
        <w:pStyle w:val="ListBullet"/>
      </w:pPr>
      <w:r>
        <w:t>NFe.io: native webhooks, split integration, and support for issuing invoices on behalf of the seller through authorization.</w:t>
      </w:r>
    </w:p>
    <w:p>
      <w:pPr>
        <w:pStyle w:val="ListBullet"/>
      </w:pPr>
      <w:r>
        <w:t>PlugNotas (TecnoSpeed): complete REST API for NF-e, NFS-e, and CT-e.</w:t>
      </w:r>
    </w:p>
    <w:p>
      <w:pPr>
        <w:pStyle w:val="Heading1"/>
      </w:pPr>
      <w:r>
        <w:t>5. Logistics — Melhor Envio API</w:t>
      </w:r>
    </w:p>
    <w:p>
      <w:pPr>
        <w:pStyle w:val="Heading2"/>
      </w:pPr>
      <w:r>
        <w:t>Recommended Integration Model</w:t>
      </w:r>
    </w:p>
    <w:p>
      <w:r>
        <w:t>Integrate the Melhor Envio API directly into the Arena dos Mantos backend, not through Bling. This enables:</w:t>
      </w:r>
    </w:p>
    <w:p>
      <w:pPr>
        <w:pStyle w:val="ListBullet"/>
      </w:pPr>
      <w:r>
        <w:t>Centralizing all shipments in a Melhor Envio account using Avance Labs credit.</w:t>
      </w:r>
    </w:p>
    <w:p>
      <w:pPr>
        <w:pStyle w:val="ListBullet"/>
      </w:pPr>
      <w:r>
        <w:t>Defining each label sender as the seller, not the marketplace.</w:t>
      </w:r>
    </w:p>
    <w:p>
      <w:pPr>
        <w:pStyle w:val="ListBullet"/>
      </w:pPr>
      <w:r>
        <w:t>Dynamic real-time shipping quotes by ZIP code and product weight.</w:t>
      </w:r>
    </w:p>
    <w:p>
      <w:pPr>
        <w:pStyle w:val="ListBullet"/>
      </w:pPr>
      <w:r>
        <w:t>Shipping markup: the buyer pays X, Melhor Envio charges Y, where Y is lower than X, and the difference becomes Avance Labs revenue.</w:t>
      </w:r>
    </w:p>
    <w:p>
      <w:pPr>
        <w:pStyle w:val="Heading2"/>
      </w:pPr>
      <w:r>
        <w:t>Technical Shipping Flow</w:t>
      </w:r>
    </w:p>
    <w:p>
      <w:pPr>
        <w:pStyle w:val="ListNumber"/>
      </w:pPr>
      <w:r>
        <w:t>The seller enters the product weight and dimensions in the listing.</w:t>
      </w:r>
    </w:p>
    <w:p>
      <w:pPr>
        <w:pStyle w:val="ListNumber"/>
      </w:pPr>
      <w:r>
        <w:t>The buyer enters the ZIP code at checkout.</w:t>
      </w:r>
    </w:p>
    <w:p>
      <w:pPr>
        <w:pStyle w:val="ListNumber"/>
      </w:pPr>
      <w:r>
        <w:t>Arena queries the Melhor Envio API in real time and receives the actual cost, for example R$10.</w:t>
      </w:r>
    </w:p>
    <w:p>
      <w:pPr>
        <w:pStyle w:val="ListNumber"/>
      </w:pPr>
      <w:r>
        <w:t>Arena applies markup, for example +50%, and shows R$15 to the buyer.</w:t>
      </w:r>
    </w:p>
    <w:p>
      <w:pPr>
        <w:pStyle w:val="ListNumber"/>
      </w:pPr>
      <w:r>
        <w:t>The buyer accepts and pays.</w:t>
      </w:r>
    </w:p>
    <w:p>
      <w:pPr>
        <w:pStyle w:val="ListNumber"/>
      </w:pPr>
      <w:r>
        <w:t>Arena purchases the label through the API for R$10 and keeps R$5.</w:t>
      </w:r>
    </w:p>
    <w:p>
      <w:pPr>
        <w:pStyle w:val="ListNumber"/>
      </w:pPr>
      <w:r>
        <w:t>The label is generated with the seller’s address as sender and the buyer’s address as recipient.</w:t>
      </w:r>
    </w:p>
    <w:p>
      <w:pPr>
        <w:pStyle w:val="Heading2"/>
      </w:pPr>
      <w:r>
        <w:t>App Model in Melhor Envio</w:t>
      </w:r>
    </w:p>
    <w:p>
      <w:r>
        <w:t>To operate using a centralized multi-seller model, it is necessary to create an “Application” inside Melhor Envio, not a normal legal entity account. This requires approval from Melhor Envio and follows specific rules for marketplaces. Their developer documentation should be consulted.</w:t>
      </w:r>
    </w:p>
    <w:p>
      <w:pPr>
        <w:pStyle w:val="Heading2"/>
      </w:pPr>
      <w:r>
        <w:t>What Appears on the Shipping Label</w:t>
      </w:r>
    </w:p>
    <w:p>
      <w:pPr>
        <w:pStyle w:val="ListBullet"/>
      </w:pPr>
      <w:r>
        <w:t>Sender: seller name and address.</w:t>
      </w:r>
    </w:p>
    <w:p>
      <w:pPr>
        <w:pStyle w:val="ListBullet"/>
      </w:pPr>
      <w:r>
        <w:t>Recipient: buyer name and address.</w:t>
      </w:r>
    </w:p>
    <w:p>
      <w:pPr>
        <w:pStyle w:val="ListBullet"/>
      </w:pPr>
      <w:r>
        <w:t>Tracking code generated by Melhor Envio.</w:t>
      </w:r>
    </w:p>
    <w:p>
      <w:pPr>
        <w:pStyle w:val="ListBullet"/>
      </w:pPr>
      <w:r>
        <w:t>Barcode for posting.</w:t>
      </w:r>
    </w:p>
    <w:p>
      <w:pPr>
        <w:pStyle w:val="ListBullet"/>
      </w:pPr>
      <w:r>
        <w:t>Selected carrier and service, such as PAC, SEDEX, Jadlog, etc.</w:t>
      </w:r>
    </w:p>
    <w:p>
      <w:pPr>
        <w:pStyle w:val="Heading2"/>
      </w:pPr>
      <w:r>
        <w:t>Bling vs. Direct API</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vAlign w:val="center"/>
          </w:tcPr>
          <w:p>
            <w:pPr>
              <w:spacing w:after="60"/>
            </w:pPr>
            <w:r>
              <w:rPr>
                <w:rFonts w:ascii="Aptos" w:hAnsi="Aptos"/>
                <w:sz w:val="15"/>
              </w:rPr>
            </w:r>
            <w:r>
              <w:rPr>
                <w:rFonts w:ascii="Aptos" w:hAnsi="Aptos"/>
                <w:b/>
                <w:sz w:val="15"/>
              </w:rPr>
              <w:t>Aspect</w:t>
            </w:r>
          </w:p>
        </w:tc>
        <w:tc>
          <w:tcPr>
            <w:tcW w:type="dxa" w:w="3168"/>
            <w:shd w:fill="D9EAF7"/>
            <w:vAlign w:val="center"/>
          </w:tcPr>
          <w:p>
            <w:pPr>
              <w:spacing w:after="60"/>
            </w:pPr>
            <w:r>
              <w:rPr>
                <w:rFonts w:ascii="Aptos" w:hAnsi="Aptos"/>
                <w:sz w:val="15"/>
              </w:rPr>
            </w:r>
            <w:r>
              <w:rPr>
                <w:rFonts w:ascii="Aptos" w:hAnsi="Aptos"/>
                <w:b/>
                <w:sz w:val="15"/>
              </w:rPr>
              <w:t>Bling (for sellers)</w:t>
            </w:r>
          </w:p>
        </w:tc>
        <w:tc>
          <w:tcPr>
            <w:tcW w:type="dxa" w:w="3456"/>
            <w:shd w:fill="D9EAF7"/>
            <w:vAlign w:val="center"/>
          </w:tcPr>
          <w:p>
            <w:pPr>
              <w:spacing w:after="60"/>
            </w:pPr>
            <w:r>
              <w:rPr>
                <w:rFonts w:ascii="Aptos" w:hAnsi="Aptos"/>
                <w:sz w:val="15"/>
              </w:rPr>
            </w:r>
            <w:r>
              <w:rPr>
                <w:rFonts w:ascii="Aptos" w:hAnsi="Aptos"/>
                <w:b/>
                <w:sz w:val="15"/>
              </w:rPr>
              <w:t>Direct Melhor Envio API (for marketplace)</w:t>
            </w:r>
          </w:p>
        </w:tc>
      </w:tr>
      <w:tr>
        <w:tc>
          <w:tcPr>
            <w:tcW w:type="dxa" w:w="2304"/>
            <w:vAlign w:val="top"/>
          </w:tcPr>
          <w:p>
            <w:pPr>
              <w:spacing w:after="60"/>
            </w:pPr>
            <w:r>
              <w:rPr>
                <w:rFonts w:ascii="Aptos" w:hAnsi="Aptos"/>
                <w:sz w:val="15"/>
              </w:rPr>
            </w:r>
            <w:r>
              <w:rPr>
                <w:rFonts w:ascii="Aptos" w:hAnsi="Aptos"/>
                <w:b w:val="0"/>
                <w:sz w:val="15"/>
              </w:rPr>
              <w:t>Sender on label</w:t>
            </w:r>
          </w:p>
        </w:tc>
        <w:tc>
          <w:tcPr>
            <w:tcW w:type="dxa" w:w="3168"/>
            <w:vAlign w:val="top"/>
          </w:tcPr>
          <w:p>
            <w:pPr>
              <w:spacing w:after="60"/>
            </w:pPr>
            <w:r>
              <w:rPr>
                <w:rFonts w:ascii="Aptos" w:hAnsi="Aptos"/>
                <w:sz w:val="15"/>
              </w:rPr>
            </w:r>
            <w:r>
              <w:rPr>
                <w:rFonts w:ascii="Aptos" w:hAnsi="Aptos"/>
                <w:b w:val="0"/>
                <w:sz w:val="15"/>
              </w:rPr>
              <w:t>Always the fixed Bling CNPJ</w:t>
            </w:r>
          </w:p>
        </w:tc>
        <w:tc>
          <w:tcPr>
            <w:tcW w:type="dxa" w:w="3456"/>
            <w:vAlign w:val="top"/>
          </w:tcPr>
          <w:p>
            <w:pPr>
              <w:spacing w:after="60"/>
            </w:pPr>
            <w:r>
              <w:rPr>
                <w:rFonts w:ascii="Aptos" w:hAnsi="Aptos"/>
                <w:sz w:val="15"/>
              </w:rPr>
            </w:r>
            <w:r>
              <w:rPr>
                <w:rFonts w:ascii="Aptos" w:hAnsi="Aptos"/>
                <w:b w:val="0"/>
                <w:sz w:val="15"/>
              </w:rPr>
              <w:t>Defined per request, using the seller</w:t>
            </w:r>
          </w:p>
        </w:tc>
      </w:tr>
      <w:tr>
        <w:tc>
          <w:tcPr>
            <w:tcW w:type="dxa" w:w="2304"/>
            <w:vAlign w:val="top"/>
          </w:tcPr>
          <w:p>
            <w:pPr>
              <w:spacing w:after="60"/>
            </w:pPr>
            <w:r>
              <w:rPr>
                <w:rFonts w:ascii="Aptos" w:hAnsi="Aptos"/>
                <w:sz w:val="15"/>
              </w:rPr>
            </w:r>
            <w:r>
              <w:rPr>
                <w:rFonts w:ascii="Aptos" w:hAnsi="Aptos"/>
                <w:b w:val="0"/>
                <w:sz w:val="15"/>
              </w:rPr>
              <w:t>Shipping centralization</w:t>
            </w:r>
          </w:p>
        </w:tc>
        <w:tc>
          <w:tcPr>
            <w:tcW w:type="dxa" w:w="3168"/>
            <w:vAlign w:val="top"/>
          </w:tcPr>
          <w:p>
            <w:pPr>
              <w:spacing w:after="60"/>
            </w:pPr>
            <w:r>
              <w:rPr>
                <w:rFonts w:ascii="Aptos" w:hAnsi="Aptos"/>
                <w:sz w:val="15"/>
              </w:rPr>
            </w:r>
            <w:r>
              <w:rPr>
                <w:rFonts w:ascii="Aptos" w:hAnsi="Aptos"/>
                <w:b w:val="0"/>
                <w:sz w:val="15"/>
              </w:rPr>
              <w:t>No — each seller has their own account</w:t>
            </w:r>
          </w:p>
        </w:tc>
        <w:tc>
          <w:tcPr>
            <w:tcW w:type="dxa" w:w="3456"/>
            <w:vAlign w:val="top"/>
          </w:tcPr>
          <w:p>
            <w:pPr>
              <w:spacing w:after="60"/>
            </w:pPr>
            <w:r>
              <w:rPr>
                <w:rFonts w:ascii="Aptos" w:hAnsi="Aptos"/>
                <w:sz w:val="15"/>
              </w:rPr>
            </w:r>
            <w:r>
              <w:rPr>
                <w:rFonts w:ascii="Aptos" w:hAnsi="Aptos"/>
                <w:b w:val="0"/>
                <w:sz w:val="15"/>
              </w:rPr>
              <w:t>Yes — one account, multiple sellers</w:t>
            </w:r>
          </w:p>
        </w:tc>
      </w:tr>
      <w:tr>
        <w:tc>
          <w:tcPr>
            <w:tcW w:type="dxa" w:w="2304"/>
            <w:vAlign w:val="top"/>
          </w:tcPr>
          <w:p>
            <w:pPr>
              <w:spacing w:after="60"/>
            </w:pPr>
            <w:r>
              <w:rPr>
                <w:rFonts w:ascii="Aptos" w:hAnsi="Aptos"/>
                <w:sz w:val="15"/>
              </w:rPr>
            </w:r>
            <w:r>
              <w:rPr>
                <w:rFonts w:ascii="Aptos" w:hAnsi="Aptos"/>
                <w:b w:val="0"/>
                <w:sz w:val="15"/>
              </w:rPr>
              <w:t>Shipping markup</w:t>
            </w:r>
          </w:p>
        </w:tc>
        <w:tc>
          <w:tcPr>
            <w:tcW w:type="dxa" w:w="3168"/>
            <w:vAlign w:val="top"/>
          </w:tcPr>
          <w:p>
            <w:pPr>
              <w:spacing w:after="60"/>
            </w:pPr>
            <w:r>
              <w:rPr>
                <w:rFonts w:ascii="Aptos" w:hAnsi="Aptos"/>
                <w:sz w:val="15"/>
              </w:rPr>
            </w:r>
            <w:r>
              <w:rPr>
                <w:rFonts w:ascii="Aptos" w:hAnsi="Aptos"/>
                <w:b w:val="0"/>
                <w:sz w:val="15"/>
              </w:rPr>
              <w:t>Not possible</w:t>
            </w:r>
          </w:p>
        </w:tc>
        <w:tc>
          <w:tcPr>
            <w:tcW w:type="dxa" w:w="3456"/>
            <w:vAlign w:val="top"/>
          </w:tcPr>
          <w:p>
            <w:pPr>
              <w:spacing w:after="60"/>
            </w:pPr>
            <w:r>
              <w:rPr>
                <w:rFonts w:ascii="Aptos" w:hAnsi="Aptos"/>
                <w:sz w:val="15"/>
              </w:rPr>
            </w:r>
            <w:r>
              <w:rPr>
                <w:rFonts w:ascii="Aptos" w:hAnsi="Aptos"/>
                <w:b w:val="0"/>
                <w:sz w:val="15"/>
              </w:rPr>
              <w:t>Yes — controlled by Arena</w:t>
            </w:r>
          </w:p>
        </w:tc>
      </w:tr>
      <w:tr>
        <w:tc>
          <w:tcPr>
            <w:tcW w:type="dxa" w:w="2304"/>
            <w:vAlign w:val="top"/>
          </w:tcPr>
          <w:p>
            <w:pPr>
              <w:spacing w:after="60"/>
            </w:pPr>
            <w:r>
              <w:rPr>
                <w:rFonts w:ascii="Aptos" w:hAnsi="Aptos"/>
                <w:sz w:val="15"/>
              </w:rPr>
            </w:r>
            <w:r>
              <w:rPr>
                <w:rFonts w:ascii="Aptos" w:hAnsi="Aptos"/>
                <w:b w:val="0"/>
                <w:sz w:val="15"/>
              </w:rPr>
              <w:t>Arena integration</w:t>
            </w:r>
          </w:p>
        </w:tc>
        <w:tc>
          <w:tcPr>
            <w:tcW w:type="dxa" w:w="3168"/>
            <w:vAlign w:val="top"/>
          </w:tcPr>
          <w:p>
            <w:pPr>
              <w:spacing w:after="60"/>
            </w:pPr>
            <w:r>
              <w:rPr>
                <w:rFonts w:ascii="Aptos" w:hAnsi="Aptos"/>
                <w:sz w:val="15"/>
              </w:rPr>
            </w:r>
            <w:r>
              <w:rPr>
                <w:rFonts w:ascii="Aptos" w:hAnsi="Aptos"/>
                <w:b w:val="0"/>
                <w:sz w:val="15"/>
              </w:rPr>
              <w:t>Requires partnership development</w:t>
            </w:r>
          </w:p>
        </w:tc>
        <w:tc>
          <w:tcPr>
            <w:tcW w:type="dxa" w:w="3456"/>
            <w:vAlign w:val="top"/>
          </w:tcPr>
          <w:p>
            <w:pPr>
              <w:spacing w:after="60"/>
            </w:pPr>
            <w:r>
              <w:rPr>
                <w:rFonts w:ascii="Aptos" w:hAnsi="Aptos"/>
                <w:sz w:val="15"/>
              </w:rPr>
            </w:r>
            <w:r>
              <w:rPr>
                <w:rFonts w:ascii="Aptos" w:hAnsi="Aptos"/>
                <w:b w:val="0"/>
                <w:sz w:val="15"/>
              </w:rPr>
              <w:t>Native via REST API</w:t>
            </w:r>
          </w:p>
        </w:tc>
      </w:tr>
      <w:tr>
        <w:tc>
          <w:tcPr>
            <w:tcW w:type="dxa" w:w="2304"/>
            <w:vAlign w:val="top"/>
          </w:tcPr>
          <w:p>
            <w:pPr>
              <w:spacing w:after="60"/>
            </w:pPr>
            <w:r>
              <w:rPr>
                <w:rFonts w:ascii="Aptos" w:hAnsi="Aptos"/>
                <w:sz w:val="15"/>
              </w:rPr>
            </w:r>
            <w:r>
              <w:rPr>
                <w:rFonts w:ascii="Aptos" w:hAnsi="Aptos"/>
                <w:b w:val="0"/>
                <w:sz w:val="15"/>
              </w:rPr>
              <w:t>Ideal for</w:t>
            </w:r>
          </w:p>
        </w:tc>
        <w:tc>
          <w:tcPr>
            <w:tcW w:type="dxa" w:w="3168"/>
            <w:vAlign w:val="top"/>
          </w:tcPr>
          <w:p>
            <w:pPr>
              <w:spacing w:after="60"/>
            </w:pPr>
            <w:r>
              <w:rPr>
                <w:rFonts w:ascii="Aptos" w:hAnsi="Aptos"/>
                <w:sz w:val="15"/>
              </w:rPr>
            </w:r>
            <w:r>
              <w:rPr>
                <w:rFonts w:ascii="Aptos" w:hAnsi="Aptos"/>
                <w:b w:val="0"/>
                <w:sz w:val="15"/>
              </w:rPr>
              <w:t>Sellers managing NF-e and inventory</w:t>
            </w:r>
          </w:p>
        </w:tc>
        <w:tc>
          <w:tcPr>
            <w:tcW w:type="dxa" w:w="3456"/>
            <w:vAlign w:val="top"/>
          </w:tcPr>
          <w:p>
            <w:pPr>
              <w:spacing w:after="60"/>
            </w:pPr>
            <w:r>
              <w:rPr>
                <w:rFonts w:ascii="Aptos" w:hAnsi="Aptos"/>
                <w:sz w:val="15"/>
              </w:rPr>
            </w:r>
            <w:r>
              <w:rPr>
                <w:rFonts w:ascii="Aptos" w:hAnsi="Aptos"/>
                <w:b w:val="0"/>
                <w:sz w:val="15"/>
              </w:rPr>
              <w:t>Marketplace centralizing logistics</w:t>
            </w:r>
          </w:p>
        </w:tc>
      </w:tr>
    </w:tbl>
    <w:p/>
    <w:p>
      <w:pPr>
        <w:pStyle w:val="Heading1"/>
      </w:pPr>
      <w:r>
        <w:t>6. How Mercado Livre Remains Compliant</w:t>
      </w:r>
    </w:p>
    <w:p>
      <w:pPr>
        <w:pStyle w:val="Heading2"/>
      </w:pPr>
      <w:r>
        <w:t>Mercado Livre Fiscal Model</w:t>
      </w:r>
    </w:p>
    <w:p>
      <w:pPr>
        <w:pStyle w:val="ListBullet"/>
      </w:pPr>
      <w:r>
        <w:t>Mercado Livre acts as an intermediary and never issues sellers’ NF-e.</w:t>
      </w:r>
    </w:p>
    <w:p>
      <w:pPr>
        <w:pStyle w:val="ListBullet"/>
      </w:pPr>
      <w:r>
        <w:t>Mercado Livre issues its own NFS-e over the commission charged to each seller.</w:t>
      </w:r>
    </w:p>
    <w:p>
      <w:pPr>
        <w:pStyle w:val="ListBullet"/>
      </w:pPr>
      <w:r>
        <w:t>Sellers with CNPJ issue 100% of the product NF-e.</w:t>
      </w:r>
    </w:p>
    <w:p>
      <w:pPr>
        <w:pStyle w:val="ListBullet"/>
      </w:pPr>
      <w:r>
        <w:t>MEI sellers are required to issue invoices to legal entity buyers; Mercado Livre requires invoices for Full even for sales to individuals.</w:t>
      </w:r>
    </w:p>
    <w:p>
      <w:pPr>
        <w:pStyle w:val="Heading2"/>
      </w:pPr>
      <w:r>
        <w:t>Mercado Livre Invoice Issuer</w:t>
      </w:r>
    </w:p>
    <w:p>
      <w:pPr>
        <w:pStyle w:val="ListBullet"/>
      </w:pPr>
      <w:r>
        <w:t>Free tool integrated into the platform.</w:t>
      </w:r>
    </w:p>
    <w:p>
      <w:pPr>
        <w:pStyle w:val="ListBullet"/>
      </w:pPr>
      <w:r>
        <w:t>Seller configures once: A1 certificate, state registration, NCM, and a specific invoice series for Mercado Livre.</w:t>
      </w:r>
    </w:p>
    <w:p>
      <w:pPr>
        <w:pStyle w:val="ListBullet"/>
      </w:pPr>
      <w:r>
        <w:t>From that point onward, NF-e is generated automatically per sale, individually or in bulk.</w:t>
      </w:r>
    </w:p>
    <w:p>
      <w:pPr>
        <w:pStyle w:val="ListBullet"/>
      </w:pPr>
      <w:r>
        <w:t>Mercado Livre automatically sends the invoice to the buyer after SEFAZ authorization.</w:t>
      </w:r>
    </w:p>
    <w:p>
      <w:pPr>
        <w:pStyle w:val="ListBullet"/>
      </w:pPr>
      <w:r>
        <w:t>For Full fulfillment, use of the invoice issuer is mandatory.</w:t>
      </w:r>
    </w:p>
    <w:p>
      <w:pPr>
        <w:pStyle w:val="Heading2"/>
      </w:pPr>
      <w:r>
        <w:t>Individual Seller Policy</w:t>
      </w:r>
    </w:p>
    <w:p>
      <w:pPr>
        <w:pStyle w:val="ListBullet"/>
      </w:pPr>
      <w:r>
        <w:t>Mercado Livre tolerates individual sellers up to R$12,000/month in sales.</w:t>
      </w:r>
    </w:p>
    <w:p>
      <w:pPr>
        <w:pStyle w:val="ListBullet"/>
      </w:pPr>
      <w:r>
        <w:t>Individuals do not access Mercado Envios Full, Mercado Coletas, or Mercado Líder ranking.</w:t>
      </w:r>
    </w:p>
    <w:p>
      <w:pPr>
        <w:pStyle w:val="ListBullet"/>
      </w:pPr>
      <w:r>
        <w:t>Strategy: use premium restrictions as leverage to force migration to CNPJ.</w:t>
      </w:r>
    </w:p>
    <w:tbl>
      <w:tblPr>
        <w:tblW w:type="auto" w:w="0"/>
        <w:jc w:val="center"/>
        <w:tblLook w:firstColumn="1" w:firstRow="1" w:lastColumn="0" w:lastRow="0" w:noHBand="0" w:noVBand="1" w:val="04A0"/>
      </w:tblPr>
      <w:tblGrid>
        <w:gridCol w:w="10080"/>
      </w:tblGrid>
      <w:tr>
        <w:tc>
          <w:tcPr>
            <w:tcW w:type="dxa" w:w="10080"/>
            <w:shd w:fill="E2F0D9"/>
          </w:tcPr>
          <w:p>
            <w:pPr>
              <w:spacing w:after="60"/>
            </w:pPr>
            <w:r>
              <w:rPr>
                <w:rFonts w:ascii="Aptos" w:hAnsi="Aptos"/>
                <w:sz w:val="15"/>
              </w:rPr>
            </w:r>
            <w:r>
              <w:rPr>
                <w:rFonts w:ascii="Aptos" w:hAnsi="Aptos"/>
                <w:b/>
                <w:sz w:val="20"/>
              </w:rPr>
              <w:t>Apply to Arena dos Mantos</w:t>
            </w:r>
          </w:p>
          <w:p>
            <w:pPr>
              <w:spacing w:after="60"/>
            </w:pPr>
            <w:r>
              <w:rPr>
                <w:rFonts w:ascii="Aptos" w:hAnsi="Aptos"/>
                <w:sz w:val="18"/>
              </w:rPr>
              <w:t>Replicate the Mercado Livre model: Phase 1 tolerates individuals with a listing cap, with a maximum of R$4,500/month per seller. Phase 2 requires CNPJ with an integrated internal invoice issuer. Access to premium benefits such as subsidized shipping and listing boosts should be conditioned on invoice issuance, following the same logic as Mercado Livre Full.</w:t>
            </w:r>
          </w:p>
        </w:tc>
      </w:tr>
    </w:tbl>
    <w:p/>
    <w:p>
      <w:pPr>
        <w:pStyle w:val="Heading1"/>
      </w:pPr>
      <w:r>
        <w:t>7. Critical Legal Matters</w:t>
      </w:r>
    </w:p>
    <w:p>
      <w:pPr>
        <w:pStyle w:val="Heading2"/>
      </w:pPr>
      <w:r>
        <w:t>7.1 Intellectual Property — Highest Business Risk</w:t>
      </w:r>
    </w:p>
    <w:tbl>
      <w:tblPr>
        <w:tblW w:type="auto" w:w="0"/>
        <w:jc w:val="center"/>
        <w:tblLook w:firstColumn="1" w:firstRow="1" w:lastColumn="0" w:lastRow="0" w:noHBand="0" w:noVBand="1" w:val="04A0"/>
      </w:tblPr>
      <w:tblGrid>
        <w:gridCol w:w="10080"/>
      </w:tblGrid>
      <w:tr>
        <w:tc>
          <w:tcPr>
            <w:tcW w:type="dxa" w:w="10080"/>
            <w:shd w:fill="FCE4D6"/>
          </w:tcPr>
          <w:p>
            <w:pPr>
              <w:spacing w:after="60"/>
            </w:pPr>
            <w:r>
              <w:rPr>
                <w:rFonts w:ascii="Aptos" w:hAnsi="Aptos"/>
                <w:sz w:val="15"/>
              </w:rPr>
            </w:r>
            <w:r>
              <w:rPr>
                <w:rFonts w:ascii="Aptos" w:hAnsi="Aptos"/>
                <w:b/>
                <w:sz w:val="20"/>
              </w:rPr>
              <w:t>CRITICAL RISK — COUNTERFEIT SHIRTS</w:t>
            </w:r>
          </w:p>
          <w:p>
            <w:pPr>
              <w:spacing w:after="60"/>
            </w:pPr>
            <w:r>
              <w:rPr>
                <w:rFonts w:ascii="Aptos" w:hAnsi="Aptos"/>
                <w:sz w:val="18"/>
              </w:rPr>
              <w:t>Football team shirts contain registered trademarks, including club crests, names, sponsors, CBF, FIFA, and brands such as Nike and Adidas. The marketplace may be jointly liable for sellers who sell counterfeit products. Clubs and brands are legally aggressive. A lawsuit could halt operations.</w:t>
            </w:r>
          </w:p>
        </w:tc>
      </w:tr>
    </w:tbl>
    <w:p/>
    <w:p>
      <w:pPr>
        <w:pStyle w:val="Heading3"/>
      </w:pPr>
      <w:r>
        <w:t>Required Actions</w:t>
      </w:r>
    </w:p>
    <w:p>
      <w:pPr>
        <w:pStyle w:val="ListBullet"/>
      </w:pPr>
      <w:r>
        <w:t>Clear anti-counterfeiting policy in the Terms of Use.</w:t>
      </w:r>
    </w:p>
    <w:p>
      <w:pPr>
        <w:pStyle w:val="ListBullet"/>
      </w:pPr>
      <w:r>
        <w:t>Visible reporting system, such as a “report listing” button.</w:t>
      </w:r>
    </w:p>
    <w:p>
      <w:pPr>
        <w:pStyle w:val="ListBullet"/>
      </w:pPr>
      <w:r>
        <w:t>Active manual moderation during the first months.</w:t>
      </w:r>
    </w:p>
    <w:p>
      <w:pPr>
        <w:pStyle w:val="ListBullet"/>
      </w:pPr>
      <w:r>
        <w:t>Contractual clause making the seller responsible for product authenticity.</w:t>
      </w:r>
    </w:p>
    <w:p>
      <w:pPr>
        <w:pStyle w:val="ListBullet"/>
      </w:pPr>
      <w:r>
        <w:t>Immediate takedown process for reported listings.</w:t>
      </w:r>
    </w:p>
    <w:p>
      <w:pPr>
        <w:pStyle w:val="Heading2"/>
      </w:pPr>
      <w:r>
        <w:t>7.2 Trademark Registration with INPI</w:t>
      </w:r>
    </w:p>
    <w:p>
      <w:pPr>
        <w:pStyle w:val="ListBullet"/>
      </w:pPr>
      <w:r>
        <w:t>Register “Arena dos Mantos” before public launch.</w:t>
      </w:r>
    </w:p>
    <w:p>
      <w:pPr>
        <w:pStyle w:val="ListBullet"/>
      </w:pPr>
      <w:r>
        <w:t>Without registration, anyone may use the name and a competitor could register it first.</w:t>
      </w:r>
    </w:p>
    <w:p>
      <w:pPr>
        <w:pStyle w:val="ListBullet"/>
      </w:pPr>
      <w:r>
        <w:t>Cost: approximately R$350 per class as INPI fee, plus lawyer fees of about R$800–2,000.</w:t>
      </w:r>
    </w:p>
    <w:p>
      <w:pPr>
        <w:pStyle w:val="ListBullet"/>
      </w:pPr>
      <w:r>
        <w:t>INPI approval timeframe: 18–24 months, but the filing date already provides protection.</w:t>
      </w:r>
    </w:p>
    <w:p>
      <w:pPr>
        <w:pStyle w:val="ListBullet"/>
      </w:pPr>
      <w:r>
        <w:t>Relevant classes: 35 for intermediary / marketplace services and 25 for clothing.</w:t>
      </w:r>
    </w:p>
    <w:p>
      <w:pPr>
        <w:pStyle w:val="Heading2"/>
      </w:pPr>
      <w:r>
        <w:t>7.3 Consumer Protection Code (CDC)</w:t>
      </w:r>
    </w:p>
    <w:p>
      <w:pPr>
        <w:pStyle w:val="ListBullet"/>
      </w:pPr>
      <w:r>
        <w:t>Even when acting only as an intermediary, the marketplace may be jointly liable for product non-delivery.</w:t>
      </w:r>
    </w:p>
    <w:p>
      <w:pPr>
        <w:pStyle w:val="ListBullet"/>
      </w:pPr>
      <w:r>
        <w:t>Liability may also arise for defective products or products that differ from the listing.</w:t>
      </w:r>
    </w:p>
    <w:p>
      <w:pPr>
        <w:pStyle w:val="ListBullet"/>
      </w:pPr>
      <w:r>
        <w:t>Liability may arise from failure to comply with the published offer.</w:t>
      </w:r>
    </w:p>
    <w:p>
      <w:pPr>
        <w:pStyle w:val="ListBullet"/>
      </w:pPr>
      <w:r>
        <w:t>The Brazilian Superior Court of Justice has consolidated case law on marketplace joint liability.</w:t>
      </w:r>
    </w:p>
    <w:p>
      <w:pPr>
        <w:pStyle w:val="ListBullet"/>
      </w:pPr>
      <w:r>
        <w:t>A dispute mediation flow is necessary from launch day.</w:t>
      </w:r>
    </w:p>
    <w:p>
      <w:pPr>
        <w:pStyle w:val="Heading2"/>
      </w:pPr>
      <w:r>
        <w:t>7.4 LGPD — Brazilian General Data Protection Law</w:t>
      </w:r>
    </w:p>
    <w:p>
      <w:pPr>
        <w:pStyle w:val="ListBullet"/>
      </w:pPr>
      <w:r>
        <w:t>The marketplace collects sensitive operational data from buyers and sellers, including CPF, address, payment data, and transaction history.</w:t>
      </w:r>
    </w:p>
    <w:p>
      <w:pPr>
        <w:pStyle w:val="ListBullet"/>
      </w:pPr>
      <w:r>
        <w:t>Obligations include a clear Privacy Policy with a legal basis for each data processing activity.</w:t>
      </w:r>
    </w:p>
    <w:p>
      <w:pPr>
        <w:pStyle w:val="ListBullet"/>
      </w:pPr>
      <w:r>
        <w:t>Users must have a channel to exercise data subject rights such as deletion, portability, and access.</w:t>
      </w:r>
    </w:p>
    <w:p>
      <w:pPr>
        <w:pStyle w:val="ListBullet"/>
      </w:pPr>
      <w:r>
        <w:t>Appropriate consent must be collected during registration.</w:t>
      </w:r>
    </w:p>
    <w:p>
      <w:pPr>
        <w:pStyle w:val="ListBullet"/>
      </w:pPr>
      <w:r>
        <w:t>A DPO / Data Protection Officer should be appointed as volume grows.</w:t>
      </w:r>
    </w:p>
    <w:p>
      <w:pPr>
        <w:pStyle w:val="ListBullet"/>
      </w:pPr>
      <w:r>
        <w:t>ANPD fines may reach up to 2% of revenue, limited to R$50 million per violation.</w:t>
      </w:r>
    </w:p>
    <w:p>
      <w:pPr>
        <w:pStyle w:val="ListBullet"/>
      </w:pPr>
      <w:r>
        <w:t>LGPD should be implemented from the app architecture stage and not added later.</w:t>
      </w:r>
    </w:p>
    <w:p>
      <w:pPr>
        <w:pStyle w:val="Heading2"/>
      </w:pPr>
      <w:r>
        <w:t>7.5 Decree 7,962/2013 — E-commerce</w:t>
      </w:r>
    </w:p>
    <w:p>
      <w:pPr>
        <w:pStyle w:val="ListBullet"/>
      </w:pPr>
      <w:r>
        <w:t>Specific obligations apply to online sales platforms.</w:t>
      </w:r>
    </w:p>
    <w:p>
      <w:pPr>
        <w:pStyle w:val="ListBullet"/>
      </w:pPr>
      <w:r>
        <w:t>CNPJ and physical address must be visible on the website or app.</w:t>
      </w:r>
    </w:p>
    <w:p>
      <w:pPr>
        <w:pStyle w:val="ListBullet"/>
      </w:pPr>
      <w:r>
        <w:t>Exchange, return, and cancellation policies must be clear.</w:t>
      </w:r>
    </w:p>
    <w:p>
      <w:pPr>
        <w:pStyle w:val="ListBullet"/>
      </w:pPr>
      <w:r>
        <w:t>The 7-day right of withdrawal must be respected.</w:t>
      </w:r>
    </w:p>
    <w:p>
      <w:pPr>
        <w:pStyle w:val="ListBullet"/>
      </w:pPr>
      <w:r>
        <w:t>Order confirmation must be provided in writing, by email or notification.</w:t>
      </w:r>
    </w:p>
    <w:p>
      <w:pPr>
        <w:pStyle w:val="ListBullet"/>
      </w:pPr>
      <w:r>
        <w:t>An efficient and accessible customer service channel is required.</w:t>
      </w:r>
    </w:p>
    <w:p>
      <w:pPr>
        <w:pStyle w:val="Heading2"/>
      </w:pPr>
      <w:r>
        <w:t>7.6 Terms of Use</w:t>
      </w:r>
    </w:p>
    <w:p>
      <w:r>
        <w:t>A one-off investment in specialized digital law is essential, estimated at R$2,000–6,000. The Terms of Use should cover:</w:t>
      </w:r>
    </w:p>
    <w:p>
      <w:pPr>
        <w:pStyle w:val="ListBullet"/>
      </w:pPr>
      <w:r>
        <w:t>Mandatory seller invoice issuance, with a joint liability clause.</w:t>
      </w:r>
    </w:p>
    <w:p>
      <w:pPr>
        <w:pStyle w:val="ListBullet"/>
      </w:pPr>
      <w:r>
        <w:t>Express prohibition of counterfeit products.</w:t>
      </w:r>
    </w:p>
    <w:p>
      <w:pPr>
        <w:pStyle w:val="ListBullet"/>
      </w:pPr>
      <w:r>
        <w:t>Chargeback policy defining who absorbs losses; recommended: seller.</w:t>
      </w:r>
    </w:p>
    <w:p>
      <w:pPr>
        <w:pStyle w:val="ListBullet"/>
      </w:pPr>
      <w:r>
        <w:t>Jurisdiction and arbitration.</w:t>
      </w:r>
    </w:p>
    <w:p>
      <w:pPr>
        <w:pStyle w:val="ListBullet"/>
      </w:pPr>
      <w:r>
        <w:t>Suspension and banning for misconduct.</w:t>
      </w:r>
    </w:p>
    <w:p>
      <w:pPr>
        <w:pStyle w:val="ListBullet"/>
      </w:pPr>
      <w:r>
        <w:t>Limitation of liability for Avance Labs.</w:t>
      </w:r>
    </w:p>
    <w:p>
      <w:pPr>
        <w:pStyle w:val="ListBullet"/>
      </w:pPr>
      <w:r>
        <w:t>Seller declaration of product authenticity.</w:t>
      </w:r>
    </w:p>
    <w:p>
      <w:pPr>
        <w:pStyle w:val="Heading2"/>
      </w:pPr>
      <w:r>
        <w:t>7.7 Chargebacks and Fraud Prevention</w:t>
      </w:r>
    </w:p>
    <w:p>
      <w:pPr>
        <w:pStyle w:val="ListBullet"/>
      </w:pPr>
      <w:r>
        <w:t>When a buyer disputes a card purchase, someone absorbs the loss.</w:t>
      </w:r>
    </w:p>
    <w:p>
      <w:pPr>
        <w:pStyle w:val="ListBullet"/>
      </w:pPr>
      <w:r>
        <w:t>Recommended policy: seller absorbs 100% of chargebacks.</w:t>
      </w:r>
    </w:p>
    <w:p>
      <w:pPr>
        <w:pStyle w:val="ListBullet"/>
      </w:pPr>
      <w:r>
        <w:t>Consider holding a financial reserve from the seller, such as releasing payout 15 days after confirmed delivery.</w:t>
      </w:r>
    </w:p>
    <w:p>
      <w:pPr>
        <w:pStyle w:val="ListBullet"/>
      </w:pPr>
      <w:r>
        <w:t>Pagar.me offers anti-fraud tools, which should be used from launch.</w:t>
      </w:r>
    </w:p>
    <w:p>
      <w:pPr>
        <w:pStyle w:val="Heading1"/>
      </w:pPr>
      <w:r>
        <w:t>8. Phase 1 Strategy — MVP and Traction</w:t>
      </w:r>
    </w:p>
    <w:p>
      <w:pPr>
        <w:pStyle w:val="Heading2"/>
      </w:pPr>
      <w:r>
        <w:t>Artificial Volume Limitation</w:t>
      </w:r>
    </w:p>
    <w:p>
      <w:r>
        <w:t>The approved MVP model is to limit listings in order to avoid tax complexity during the initial phase while building the seller base and traction for investors.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D9EAF7"/>
            <w:vAlign w:val="center"/>
          </w:tcPr>
          <w:p>
            <w:pPr>
              <w:spacing w:after="60"/>
            </w:pPr>
            <w:r>
              <w:rPr>
                <w:rFonts w:ascii="Aptos" w:hAnsi="Aptos"/>
                <w:sz w:val="15"/>
              </w:rPr>
            </w:r>
            <w:r>
              <w:rPr>
                <w:rFonts w:ascii="Aptos" w:hAnsi="Aptos"/>
                <w:b/>
                <w:sz w:val="15"/>
              </w:rPr>
              <w:t>Profile</w:t>
            </w:r>
          </w:p>
        </w:tc>
        <w:tc>
          <w:tcPr>
            <w:tcW w:type="dxa" w:w="1728"/>
            <w:shd w:fill="D9EAF7"/>
            <w:vAlign w:val="center"/>
          </w:tcPr>
          <w:p>
            <w:pPr>
              <w:spacing w:after="60"/>
            </w:pPr>
            <w:r>
              <w:rPr>
                <w:rFonts w:ascii="Aptos" w:hAnsi="Aptos"/>
                <w:sz w:val="15"/>
              </w:rPr>
            </w:r>
            <w:r>
              <w:rPr>
                <w:rFonts w:ascii="Aptos" w:hAnsi="Aptos"/>
                <w:b/>
                <w:sz w:val="15"/>
              </w:rPr>
              <w:t>Active Listings</w:t>
            </w:r>
          </w:p>
        </w:tc>
        <w:tc>
          <w:tcPr>
            <w:tcW w:type="dxa" w:w="2304"/>
            <w:shd w:fill="D9EAF7"/>
            <w:vAlign w:val="center"/>
          </w:tcPr>
          <w:p>
            <w:pPr>
              <w:spacing w:after="60"/>
            </w:pPr>
            <w:r>
              <w:rPr>
                <w:rFonts w:ascii="Aptos" w:hAnsi="Aptos"/>
                <w:sz w:val="15"/>
              </w:rPr>
            </w:r>
            <w:r>
              <w:rPr>
                <w:rFonts w:ascii="Aptos" w:hAnsi="Aptos"/>
                <w:b/>
                <w:sz w:val="15"/>
              </w:rPr>
              <w:t>Maximum Revenue / Month</w:t>
            </w:r>
          </w:p>
        </w:tc>
        <w:tc>
          <w:tcPr>
            <w:tcW w:type="dxa" w:w="2304"/>
            <w:shd w:fill="D9EAF7"/>
            <w:vAlign w:val="center"/>
          </w:tcPr>
          <w:p>
            <w:pPr>
              <w:spacing w:after="60"/>
            </w:pPr>
            <w:r>
              <w:rPr>
                <w:rFonts w:ascii="Aptos" w:hAnsi="Aptos"/>
                <w:sz w:val="15"/>
              </w:rPr>
            </w:r>
            <w:r>
              <w:rPr>
                <w:rFonts w:ascii="Aptos" w:hAnsi="Aptos"/>
                <w:b/>
                <w:sz w:val="15"/>
              </w:rPr>
              <w:t>Maximum Revenue / Year</w:t>
            </w:r>
          </w:p>
        </w:tc>
      </w:tr>
      <w:tr>
        <w:tc>
          <w:tcPr>
            <w:tcW w:type="dxa" w:w="2448"/>
            <w:vAlign w:val="top"/>
          </w:tcPr>
          <w:p>
            <w:pPr>
              <w:spacing w:after="60"/>
            </w:pPr>
            <w:r>
              <w:rPr>
                <w:rFonts w:ascii="Aptos" w:hAnsi="Aptos"/>
                <w:sz w:val="15"/>
              </w:rPr>
            </w:r>
            <w:r>
              <w:rPr>
                <w:rFonts w:ascii="Aptos" w:hAnsi="Aptos"/>
                <w:b w:val="0"/>
                <w:sz w:val="15"/>
              </w:rPr>
              <w:t>Standard user</w:t>
            </w:r>
          </w:p>
        </w:tc>
        <w:tc>
          <w:tcPr>
            <w:tcW w:type="dxa" w:w="1728"/>
            <w:vAlign w:val="top"/>
          </w:tcPr>
          <w:p>
            <w:pPr>
              <w:spacing w:after="60"/>
            </w:pPr>
            <w:r>
              <w:rPr>
                <w:rFonts w:ascii="Aptos" w:hAnsi="Aptos"/>
                <w:sz w:val="15"/>
              </w:rPr>
            </w:r>
            <w:r>
              <w:rPr>
                <w:rFonts w:ascii="Aptos" w:hAnsi="Aptos"/>
                <w:b w:val="0"/>
                <w:sz w:val="15"/>
              </w:rPr>
              <w:t>5</w:t>
            </w:r>
          </w:p>
        </w:tc>
        <w:tc>
          <w:tcPr>
            <w:tcW w:type="dxa" w:w="2304"/>
            <w:vAlign w:val="top"/>
          </w:tcPr>
          <w:p>
            <w:pPr>
              <w:spacing w:after="60"/>
            </w:pPr>
            <w:r>
              <w:rPr>
                <w:rFonts w:ascii="Aptos" w:hAnsi="Aptos"/>
                <w:sz w:val="15"/>
              </w:rPr>
            </w:r>
            <w:r>
              <w:rPr>
                <w:rFonts w:ascii="Aptos" w:hAnsi="Aptos"/>
                <w:b w:val="0"/>
                <w:sz w:val="15"/>
              </w:rPr>
              <w:t>R$1,500</w:t>
            </w:r>
          </w:p>
        </w:tc>
        <w:tc>
          <w:tcPr>
            <w:tcW w:type="dxa" w:w="2304"/>
            <w:vAlign w:val="top"/>
          </w:tcPr>
          <w:p>
            <w:pPr>
              <w:spacing w:after="60"/>
            </w:pPr>
            <w:r>
              <w:rPr>
                <w:rFonts w:ascii="Aptos" w:hAnsi="Aptos"/>
                <w:sz w:val="15"/>
              </w:rPr>
            </w:r>
            <w:r>
              <w:rPr>
                <w:rFonts w:ascii="Aptos" w:hAnsi="Aptos"/>
                <w:b w:val="0"/>
                <w:sz w:val="15"/>
              </w:rPr>
              <w:t>R$18,000</w:t>
            </w:r>
          </w:p>
        </w:tc>
      </w:tr>
      <w:tr>
        <w:tc>
          <w:tcPr>
            <w:tcW w:type="dxa" w:w="2448"/>
            <w:vAlign w:val="top"/>
          </w:tcPr>
          <w:p>
            <w:pPr>
              <w:spacing w:after="60"/>
            </w:pPr>
            <w:r>
              <w:rPr>
                <w:rFonts w:ascii="Aptos" w:hAnsi="Aptos"/>
                <w:sz w:val="15"/>
              </w:rPr>
            </w:r>
            <w:r>
              <w:rPr>
                <w:rFonts w:ascii="Aptos" w:hAnsi="Aptos"/>
                <w:b w:val="0"/>
                <w:sz w:val="15"/>
              </w:rPr>
              <w:t>Early adopter</w:t>
            </w:r>
          </w:p>
        </w:tc>
        <w:tc>
          <w:tcPr>
            <w:tcW w:type="dxa" w:w="1728"/>
            <w:vAlign w:val="top"/>
          </w:tcPr>
          <w:p>
            <w:pPr>
              <w:spacing w:after="60"/>
            </w:pPr>
            <w:r>
              <w:rPr>
                <w:rFonts w:ascii="Aptos" w:hAnsi="Aptos"/>
                <w:sz w:val="15"/>
              </w:rPr>
            </w:r>
            <w:r>
              <w:rPr>
                <w:rFonts w:ascii="Aptos" w:hAnsi="Aptos"/>
                <w:b w:val="0"/>
                <w:sz w:val="15"/>
              </w:rPr>
              <w:t>10</w:t>
            </w:r>
          </w:p>
        </w:tc>
        <w:tc>
          <w:tcPr>
            <w:tcW w:type="dxa" w:w="2304"/>
            <w:vAlign w:val="top"/>
          </w:tcPr>
          <w:p>
            <w:pPr>
              <w:spacing w:after="60"/>
            </w:pPr>
            <w:r>
              <w:rPr>
                <w:rFonts w:ascii="Aptos" w:hAnsi="Aptos"/>
                <w:sz w:val="15"/>
              </w:rPr>
            </w:r>
            <w:r>
              <w:rPr>
                <w:rFonts w:ascii="Aptos" w:hAnsi="Aptos"/>
                <w:b w:val="0"/>
                <w:sz w:val="15"/>
              </w:rPr>
              <w:t>R$3,000</w:t>
            </w:r>
          </w:p>
        </w:tc>
        <w:tc>
          <w:tcPr>
            <w:tcW w:type="dxa" w:w="2304"/>
            <w:vAlign w:val="top"/>
          </w:tcPr>
          <w:p>
            <w:pPr>
              <w:spacing w:after="60"/>
            </w:pPr>
            <w:r>
              <w:rPr>
                <w:rFonts w:ascii="Aptos" w:hAnsi="Aptos"/>
                <w:sz w:val="15"/>
              </w:rPr>
            </w:r>
            <w:r>
              <w:rPr>
                <w:rFonts w:ascii="Aptos" w:hAnsi="Aptos"/>
                <w:b w:val="0"/>
                <w:sz w:val="15"/>
              </w:rPr>
              <w:t>R$36,000</w:t>
            </w:r>
          </w:p>
        </w:tc>
      </w:tr>
      <w:tr>
        <w:tc>
          <w:tcPr>
            <w:tcW w:type="dxa" w:w="2448"/>
            <w:vAlign w:val="top"/>
          </w:tcPr>
          <w:p>
            <w:pPr>
              <w:spacing w:after="60"/>
            </w:pPr>
            <w:r>
              <w:rPr>
                <w:rFonts w:ascii="Aptos" w:hAnsi="Aptos"/>
                <w:sz w:val="15"/>
              </w:rPr>
            </w:r>
            <w:r>
              <w:rPr>
                <w:rFonts w:ascii="Aptos" w:hAnsi="Aptos"/>
                <w:b w:val="0"/>
                <w:sz w:val="15"/>
              </w:rPr>
              <w:t>Early adopter + additional package</w:t>
            </w:r>
          </w:p>
        </w:tc>
        <w:tc>
          <w:tcPr>
            <w:tcW w:type="dxa" w:w="1728"/>
            <w:vAlign w:val="top"/>
          </w:tcPr>
          <w:p>
            <w:pPr>
              <w:spacing w:after="60"/>
            </w:pPr>
            <w:r>
              <w:rPr>
                <w:rFonts w:ascii="Aptos" w:hAnsi="Aptos"/>
                <w:sz w:val="15"/>
              </w:rPr>
            </w:r>
            <w:r>
              <w:rPr>
                <w:rFonts w:ascii="Aptos" w:hAnsi="Aptos"/>
                <w:b w:val="0"/>
                <w:sz w:val="15"/>
              </w:rPr>
              <w:t>15</w:t>
            </w:r>
          </w:p>
        </w:tc>
        <w:tc>
          <w:tcPr>
            <w:tcW w:type="dxa" w:w="2304"/>
            <w:vAlign w:val="top"/>
          </w:tcPr>
          <w:p>
            <w:pPr>
              <w:spacing w:after="60"/>
            </w:pPr>
            <w:r>
              <w:rPr>
                <w:rFonts w:ascii="Aptos" w:hAnsi="Aptos"/>
                <w:sz w:val="15"/>
              </w:rPr>
            </w:r>
            <w:r>
              <w:rPr>
                <w:rFonts w:ascii="Aptos" w:hAnsi="Aptos"/>
                <w:b w:val="0"/>
                <w:sz w:val="15"/>
              </w:rPr>
              <w:t>R$4,500</w:t>
            </w:r>
          </w:p>
        </w:tc>
        <w:tc>
          <w:tcPr>
            <w:tcW w:type="dxa" w:w="2304"/>
            <w:vAlign w:val="top"/>
          </w:tcPr>
          <w:p>
            <w:pPr>
              <w:spacing w:after="60"/>
            </w:pPr>
            <w:r>
              <w:rPr>
                <w:rFonts w:ascii="Aptos" w:hAnsi="Aptos"/>
                <w:sz w:val="15"/>
              </w:rPr>
            </w:r>
            <w:r>
              <w:rPr>
                <w:rFonts w:ascii="Aptos" w:hAnsi="Aptos"/>
                <w:b w:val="0"/>
                <w:sz w:val="15"/>
              </w:rPr>
              <w:t>R$54,000</w:t>
            </w:r>
          </w:p>
        </w:tc>
      </w:tr>
    </w:tbl>
    <w:p/>
    <w:p>
      <w:r>
        <w:t>Calculation based on an average ticket of R$300 and 100% of listings sold every month — an extremely optimistic scenario.</w:t>
      </w:r>
    </w:p>
    <w:p>
      <w:pPr>
        <w:pStyle w:val="ListBullet"/>
      </w:pPr>
      <w:r>
        <w:t>All sellers remain below the MEI limit of R$81,000/year, with no immediate fiscal obligation.</w:t>
      </w:r>
    </w:p>
    <w:p>
      <w:pPr>
        <w:pStyle w:val="ListBullet"/>
      </w:pPr>
      <w:r>
        <w:t>Arena is protected from the joint liability risk under LC 214/2025 due to low volume.</w:t>
      </w:r>
    </w:p>
    <w:p>
      <w:pPr>
        <w:pStyle w:val="ListBullet"/>
      </w:pPr>
      <w:r>
        <w:t>The focus remains fully on UX, user base growth, and investor narrative.</w:t>
      </w:r>
    </w:p>
    <w:p>
      <w:pPr>
        <w:pStyle w:val="Heading2"/>
      </w:pPr>
      <w:r>
        <w:t>Residual Risks in Phase 1</w:t>
      </w:r>
    </w:p>
    <w:p>
      <w:pPr>
        <w:pStyle w:val="ListBullet"/>
      </w:pPr>
      <w:r>
        <w:t>CDC applies from day one: a dispute flow is mandatory even without invoices.</w:t>
      </w:r>
    </w:p>
    <w:p>
      <w:pPr>
        <w:pStyle w:val="ListBullet"/>
      </w:pPr>
      <w:r>
        <w:t>Intellectual property: moderation of counterfeit listings is mandatory even with low volume.</w:t>
      </w:r>
    </w:p>
    <w:p>
      <w:pPr>
        <w:pStyle w:val="ListBullet"/>
      </w:pPr>
      <w:r>
        <w:t>LC 214/2025 enters production in 2027: Phase 2 with mandatory CNPJ should be operational before then.</w:t>
      </w:r>
    </w:p>
    <w:p>
      <w:pPr>
        <w:pStyle w:val="Heading2"/>
      </w:pPr>
      <w:r>
        <w:t>Sale of Eduardo’s Own Shirts on the Platform</w:t>
      </w:r>
    </w:p>
    <w:p>
      <w:pPr>
        <w:pStyle w:val="ListBullet"/>
      </w:pPr>
      <w:r>
        <w:t>CNAE 4781-4/00 must be added to the MEI for free through the Entrepreneur Portal.</w:t>
      </w:r>
    </w:p>
    <w:p>
      <w:pPr>
        <w:pStyle w:val="ListBullet"/>
      </w:pPr>
      <w:r>
        <w:t>All purchase invoices for shirts acquired for resale must be kept.</w:t>
      </w:r>
    </w:p>
    <w:p>
      <w:pPr>
        <w:pStyle w:val="ListBullet"/>
      </w:pPr>
      <w:r>
        <w:t>An outgoing NF-e must be issued for each sale: mandatory for legal entity buyers and recommended for individuals.</w:t>
      </w:r>
    </w:p>
    <w:p>
      <w:pPr>
        <w:pStyle w:val="ListBullet"/>
      </w:pPr>
      <w:r>
        <w:t>Gross revenue from own shirt sales plus commissions equals the total counted toward the MEI limit.</w:t>
      </w:r>
    </w:p>
    <w:p>
      <w:pPr>
        <w:pStyle w:val="Heading1"/>
      </w:pPr>
      <w:r>
        <w:t>9. Fiscal and Technological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D9EAF7"/>
            <w:vAlign w:val="center"/>
          </w:tcPr>
          <w:p>
            <w:pPr>
              <w:spacing w:after="60"/>
            </w:pPr>
            <w:r>
              <w:rPr>
                <w:rFonts w:ascii="Aptos" w:hAnsi="Aptos"/>
                <w:sz w:val="15"/>
              </w:rPr>
            </w:r>
            <w:r>
              <w:rPr>
                <w:rFonts w:ascii="Aptos" w:hAnsi="Aptos"/>
                <w:b/>
                <w:sz w:val="15"/>
              </w:rPr>
              <w:t>Timeline</w:t>
            </w:r>
          </w:p>
        </w:tc>
        <w:tc>
          <w:tcPr>
            <w:tcW w:type="dxa" w:w="3600"/>
            <w:shd w:fill="D9EAF7"/>
            <w:vAlign w:val="center"/>
          </w:tcPr>
          <w:p>
            <w:pPr>
              <w:spacing w:after="60"/>
            </w:pPr>
            <w:r>
              <w:rPr>
                <w:rFonts w:ascii="Aptos" w:hAnsi="Aptos"/>
                <w:sz w:val="15"/>
              </w:rPr>
            </w:r>
            <w:r>
              <w:rPr>
                <w:rFonts w:ascii="Aptos" w:hAnsi="Aptos"/>
                <w:b/>
                <w:sz w:val="15"/>
              </w:rPr>
              <w:t>Action</w:t>
            </w:r>
          </w:p>
        </w:tc>
        <w:tc>
          <w:tcPr>
            <w:tcW w:type="dxa" w:w="1800"/>
            <w:shd w:fill="D9EAF7"/>
            <w:vAlign w:val="center"/>
          </w:tcPr>
          <w:p>
            <w:pPr>
              <w:spacing w:after="60"/>
            </w:pPr>
            <w:r>
              <w:rPr>
                <w:rFonts w:ascii="Aptos" w:hAnsi="Aptos"/>
                <w:sz w:val="15"/>
              </w:rPr>
            </w:r>
            <w:r>
              <w:rPr>
                <w:rFonts w:ascii="Aptos" w:hAnsi="Aptos"/>
                <w:b/>
                <w:sz w:val="15"/>
              </w:rPr>
              <w:t>Responsible</w:t>
            </w:r>
          </w:p>
        </w:tc>
        <w:tc>
          <w:tcPr>
            <w:tcW w:type="dxa" w:w="2016"/>
            <w:shd w:fill="D9EAF7"/>
            <w:vAlign w:val="center"/>
          </w:tcPr>
          <w:p>
            <w:pPr>
              <w:spacing w:after="60"/>
            </w:pPr>
            <w:r>
              <w:rPr>
                <w:rFonts w:ascii="Aptos" w:hAnsi="Aptos"/>
                <w:sz w:val="15"/>
              </w:rPr>
            </w:r>
            <w:r>
              <w:rPr>
                <w:rFonts w:ascii="Aptos" w:hAnsi="Aptos"/>
                <w:b/>
                <w:sz w:val="15"/>
              </w:rPr>
              <w:t>Cost</w:t>
            </w:r>
          </w:p>
        </w:tc>
      </w:tr>
      <w:tr>
        <w:tc>
          <w:tcPr>
            <w:tcW w:type="dxa" w:w="1800"/>
            <w:vAlign w:val="top"/>
          </w:tcPr>
          <w:p>
            <w:pPr>
              <w:spacing w:after="60"/>
            </w:pPr>
            <w:r>
              <w:rPr>
                <w:rFonts w:ascii="Aptos" w:hAnsi="Aptos"/>
                <w:sz w:val="15"/>
              </w:rPr>
            </w:r>
            <w:r>
              <w:rPr>
                <w:rFonts w:ascii="Aptos" w:hAnsi="Aptos"/>
                <w:b w:val="0"/>
                <w:sz w:val="15"/>
              </w:rPr>
              <w:t>NOW, before launch</w:t>
            </w:r>
          </w:p>
        </w:tc>
        <w:tc>
          <w:tcPr>
            <w:tcW w:type="dxa" w:w="3600"/>
            <w:vAlign w:val="top"/>
          </w:tcPr>
          <w:p>
            <w:pPr>
              <w:spacing w:after="60"/>
            </w:pPr>
            <w:r>
              <w:rPr>
                <w:rFonts w:ascii="Aptos" w:hAnsi="Aptos"/>
                <w:sz w:val="15"/>
              </w:rPr>
            </w:r>
            <w:r>
              <w:rPr>
                <w:rFonts w:ascii="Aptos" w:hAnsi="Aptos"/>
                <w:b w:val="0"/>
                <w:sz w:val="15"/>
              </w:rPr>
              <w:t>Register the Arena dos Mantos trademark with INPI</w:t>
            </w:r>
          </w:p>
        </w:tc>
        <w:tc>
          <w:tcPr>
            <w:tcW w:type="dxa" w:w="1800"/>
            <w:vAlign w:val="top"/>
          </w:tcPr>
          <w:p>
            <w:pPr>
              <w:spacing w:after="60"/>
            </w:pPr>
            <w:r>
              <w:rPr>
                <w:rFonts w:ascii="Aptos" w:hAnsi="Aptos"/>
                <w:sz w:val="15"/>
              </w:rPr>
            </w:r>
            <w:r>
              <w:rPr>
                <w:rFonts w:ascii="Aptos" w:hAnsi="Aptos"/>
                <w:b w:val="0"/>
                <w:sz w:val="15"/>
              </w:rPr>
              <w:t>Eduardo + lawyer</w:t>
            </w:r>
          </w:p>
        </w:tc>
        <w:tc>
          <w:tcPr>
            <w:tcW w:type="dxa" w:w="2016"/>
            <w:vAlign w:val="top"/>
          </w:tcPr>
          <w:p>
            <w:pPr>
              <w:spacing w:after="60"/>
            </w:pPr>
            <w:r>
              <w:rPr>
                <w:rFonts w:ascii="Aptos" w:hAnsi="Aptos"/>
                <w:sz w:val="15"/>
              </w:rPr>
            </w:r>
            <w:r>
              <w:rPr>
                <w:rFonts w:ascii="Aptos" w:hAnsi="Aptos"/>
                <w:b w:val="0"/>
                <w:sz w:val="15"/>
              </w:rPr>
              <w:t>Approximately R$2,000–3,000</w:t>
            </w:r>
          </w:p>
        </w:tc>
      </w:tr>
      <w:tr>
        <w:tc>
          <w:tcPr>
            <w:tcW w:type="dxa" w:w="1800"/>
            <w:vAlign w:val="top"/>
          </w:tcPr>
          <w:p>
            <w:pPr>
              <w:spacing w:after="60"/>
            </w:pPr>
            <w:r>
              <w:rPr>
                <w:rFonts w:ascii="Aptos" w:hAnsi="Aptos"/>
                <w:sz w:val="15"/>
              </w:rPr>
            </w:r>
            <w:r>
              <w:rPr>
                <w:rFonts w:ascii="Aptos" w:hAnsi="Aptos"/>
                <w:b w:val="0"/>
                <w:sz w:val="15"/>
              </w:rPr>
              <w:t>NOW</w:t>
            </w:r>
          </w:p>
        </w:tc>
        <w:tc>
          <w:tcPr>
            <w:tcW w:type="dxa" w:w="3600"/>
            <w:vAlign w:val="top"/>
          </w:tcPr>
          <w:p>
            <w:pPr>
              <w:spacing w:after="60"/>
            </w:pPr>
            <w:r>
              <w:rPr>
                <w:rFonts w:ascii="Aptos" w:hAnsi="Aptos"/>
                <w:sz w:val="15"/>
              </w:rPr>
            </w:r>
            <w:r>
              <w:rPr>
                <w:rFonts w:ascii="Aptos" w:hAnsi="Aptos"/>
                <w:b w:val="0"/>
                <w:sz w:val="15"/>
              </w:rPr>
              <w:t>Hire lawyer for Terms of Use and Privacy Policy</w:t>
            </w:r>
          </w:p>
        </w:tc>
        <w:tc>
          <w:tcPr>
            <w:tcW w:type="dxa" w:w="1800"/>
            <w:vAlign w:val="top"/>
          </w:tcPr>
          <w:p>
            <w:pPr>
              <w:spacing w:after="60"/>
            </w:pPr>
            <w:r>
              <w:rPr>
                <w:rFonts w:ascii="Aptos" w:hAnsi="Aptos"/>
                <w:sz w:val="15"/>
              </w:rPr>
            </w:r>
            <w:r>
              <w:rPr>
                <w:rFonts w:ascii="Aptos" w:hAnsi="Aptos"/>
                <w:b w:val="0"/>
                <w:sz w:val="15"/>
              </w:rPr>
              <w:t>Eduardo</w:t>
            </w:r>
          </w:p>
        </w:tc>
        <w:tc>
          <w:tcPr>
            <w:tcW w:type="dxa" w:w="2016"/>
            <w:vAlign w:val="top"/>
          </w:tcPr>
          <w:p>
            <w:pPr>
              <w:spacing w:after="60"/>
            </w:pPr>
            <w:r>
              <w:rPr>
                <w:rFonts w:ascii="Aptos" w:hAnsi="Aptos"/>
                <w:sz w:val="15"/>
              </w:rPr>
            </w:r>
            <w:r>
              <w:rPr>
                <w:rFonts w:ascii="Aptos" w:hAnsi="Aptos"/>
                <w:b w:val="0"/>
                <w:sz w:val="15"/>
              </w:rPr>
              <w:t>R$2,000–6,000</w:t>
            </w:r>
          </w:p>
        </w:tc>
      </w:tr>
      <w:tr>
        <w:tc>
          <w:tcPr>
            <w:tcW w:type="dxa" w:w="1800"/>
            <w:vAlign w:val="top"/>
          </w:tcPr>
          <w:p>
            <w:pPr>
              <w:spacing w:after="60"/>
            </w:pPr>
            <w:r>
              <w:rPr>
                <w:rFonts w:ascii="Aptos" w:hAnsi="Aptos"/>
                <w:sz w:val="15"/>
              </w:rPr>
            </w:r>
            <w:r>
              <w:rPr>
                <w:rFonts w:ascii="Aptos" w:hAnsi="Aptos"/>
                <w:b w:val="0"/>
                <w:sz w:val="15"/>
              </w:rPr>
              <w:t>NOW</w:t>
            </w:r>
          </w:p>
        </w:tc>
        <w:tc>
          <w:tcPr>
            <w:tcW w:type="dxa" w:w="3600"/>
            <w:vAlign w:val="top"/>
          </w:tcPr>
          <w:p>
            <w:pPr>
              <w:spacing w:after="60"/>
            </w:pPr>
            <w:r>
              <w:rPr>
                <w:rFonts w:ascii="Aptos" w:hAnsi="Aptos"/>
                <w:sz w:val="15"/>
              </w:rPr>
            </w:r>
            <w:r>
              <w:rPr>
                <w:rFonts w:ascii="Aptos" w:hAnsi="Aptos"/>
                <w:b w:val="0"/>
                <w:sz w:val="15"/>
              </w:rPr>
              <w:t>Add CNAE 4781-4/00 to the MEI through the Entrepreneur Portal</w:t>
            </w:r>
          </w:p>
        </w:tc>
        <w:tc>
          <w:tcPr>
            <w:tcW w:type="dxa" w:w="1800"/>
            <w:vAlign w:val="top"/>
          </w:tcPr>
          <w:p>
            <w:pPr>
              <w:spacing w:after="60"/>
            </w:pPr>
            <w:r>
              <w:rPr>
                <w:rFonts w:ascii="Aptos" w:hAnsi="Aptos"/>
                <w:sz w:val="15"/>
              </w:rPr>
            </w:r>
            <w:r>
              <w:rPr>
                <w:rFonts w:ascii="Aptos" w:hAnsi="Aptos"/>
                <w:b w:val="0"/>
                <w:sz w:val="15"/>
              </w:rPr>
              <w:t>Eduardo</w:t>
            </w:r>
          </w:p>
        </w:tc>
        <w:tc>
          <w:tcPr>
            <w:tcW w:type="dxa" w:w="2016"/>
            <w:vAlign w:val="top"/>
          </w:tcPr>
          <w:p>
            <w:pPr>
              <w:spacing w:after="60"/>
            </w:pPr>
            <w:r>
              <w:rPr>
                <w:rFonts w:ascii="Aptos" w:hAnsi="Aptos"/>
                <w:sz w:val="15"/>
              </w:rPr>
            </w:r>
            <w:r>
              <w:rPr>
                <w:rFonts w:ascii="Aptos" w:hAnsi="Aptos"/>
                <w:b w:val="0"/>
                <w:sz w:val="15"/>
              </w:rPr>
              <w:t>Free</w:t>
            </w:r>
          </w:p>
        </w:tc>
      </w:tr>
      <w:tr>
        <w:tc>
          <w:tcPr>
            <w:tcW w:type="dxa" w:w="1800"/>
            <w:vAlign w:val="top"/>
          </w:tcPr>
          <w:p>
            <w:pPr>
              <w:spacing w:after="60"/>
            </w:pPr>
            <w:r>
              <w:rPr>
                <w:rFonts w:ascii="Aptos" w:hAnsi="Aptos"/>
                <w:sz w:val="15"/>
              </w:rPr>
            </w:r>
            <w:r>
              <w:rPr>
                <w:rFonts w:ascii="Aptos" w:hAnsi="Aptos"/>
                <w:b w:val="0"/>
                <w:sz w:val="15"/>
              </w:rPr>
              <w:t>Launch</w:t>
            </w:r>
          </w:p>
        </w:tc>
        <w:tc>
          <w:tcPr>
            <w:tcW w:type="dxa" w:w="3600"/>
            <w:vAlign w:val="top"/>
          </w:tcPr>
          <w:p>
            <w:pPr>
              <w:spacing w:after="60"/>
            </w:pPr>
            <w:r>
              <w:rPr>
                <w:rFonts w:ascii="Aptos" w:hAnsi="Aptos"/>
                <w:sz w:val="15"/>
              </w:rPr>
            </w:r>
            <w:r>
              <w:rPr>
                <w:rFonts w:ascii="Aptos" w:hAnsi="Aptos"/>
                <w:b w:val="0"/>
                <w:sz w:val="15"/>
              </w:rPr>
              <w:t>Hire Focus NFe, Solo plan</w:t>
            </w:r>
          </w:p>
        </w:tc>
        <w:tc>
          <w:tcPr>
            <w:tcW w:type="dxa" w:w="1800"/>
            <w:vAlign w:val="top"/>
          </w:tcPr>
          <w:p>
            <w:pPr>
              <w:spacing w:after="60"/>
            </w:pPr>
            <w:r>
              <w:rPr>
                <w:rFonts w:ascii="Aptos" w:hAnsi="Aptos"/>
                <w:sz w:val="15"/>
              </w:rPr>
            </w:r>
            <w:r>
              <w:rPr>
                <w:rFonts w:ascii="Aptos" w:hAnsi="Aptos"/>
                <w:b w:val="0"/>
                <w:sz w:val="15"/>
              </w:rPr>
              <w:t>Avance Labs</w:t>
            </w:r>
          </w:p>
        </w:tc>
        <w:tc>
          <w:tcPr>
            <w:tcW w:type="dxa" w:w="2016"/>
            <w:vAlign w:val="top"/>
          </w:tcPr>
          <w:p>
            <w:pPr>
              <w:spacing w:after="60"/>
            </w:pPr>
            <w:r>
              <w:rPr>
                <w:rFonts w:ascii="Aptos" w:hAnsi="Aptos"/>
                <w:sz w:val="15"/>
              </w:rPr>
            </w:r>
            <w:r>
              <w:rPr>
                <w:rFonts w:ascii="Aptos" w:hAnsi="Aptos"/>
                <w:b w:val="0"/>
                <w:sz w:val="15"/>
              </w:rPr>
              <w:t>R$90/month</w:t>
            </w:r>
          </w:p>
        </w:tc>
      </w:tr>
      <w:tr>
        <w:tc>
          <w:tcPr>
            <w:tcW w:type="dxa" w:w="1800"/>
            <w:vAlign w:val="top"/>
          </w:tcPr>
          <w:p>
            <w:pPr>
              <w:spacing w:after="60"/>
            </w:pPr>
            <w:r>
              <w:rPr>
                <w:rFonts w:ascii="Aptos" w:hAnsi="Aptos"/>
                <w:sz w:val="15"/>
              </w:rPr>
            </w:r>
            <w:r>
              <w:rPr>
                <w:rFonts w:ascii="Aptos" w:hAnsi="Aptos"/>
                <w:b w:val="0"/>
                <w:sz w:val="15"/>
              </w:rPr>
              <w:t>Launch</w:t>
            </w:r>
          </w:p>
        </w:tc>
        <w:tc>
          <w:tcPr>
            <w:tcW w:type="dxa" w:w="3600"/>
            <w:vAlign w:val="top"/>
          </w:tcPr>
          <w:p>
            <w:pPr>
              <w:spacing w:after="60"/>
            </w:pPr>
            <w:r>
              <w:rPr>
                <w:rFonts w:ascii="Aptos" w:hAnsi="Aptos"/>
                <w:sz w:val="15"/>
              </w:rPr>
            </w:r>
            <w:r>
              <w:rPr>
                <w:rFonts w:ascii="Aptos" w:hAnsi="Aptos"/>
                <w:b w:val="0"/>
                <w:sz w:val="15"/>
              </w:rPr>
              <w:t>Integrate Melhor Envio API using the multi-seller App model</w:t>
            </w:r>
          </w:p>
        </w:tc>
        <w:tc>
          <w:tcPr>
            <w:tcW w:type="dxa" w:w="1800"/>
            <w:vAlign w:val="top"/>
          </w:tcPr>
          <w:p>
            <w:pPr>
              <w:spacing w:after="60"/>
            </w:pPr>
            <w:r>
              <w:rPr>
                <w:rFonts w:ascii="Aptos" w:hAnsi="Aptos"/>
                <w:sz w:val="15"/>
              </w:rPr>
            </w:r>
            <w:r>
              <w:rPr>
                <w:rFonts w:ascii="Aptos" w:hAnsi="Aptos"/>
                <w:b w:val="0"/>
                <w:sz w:val="15"/>
              </w:rPr>
              <w:t>Arena developer</w:t>
            </w:r>
          </w:p>
        </w:tc>
        <w:tc>
          <w:tcPr>
            <w:tcW w:type="dxa" w:w="2016"/>
            <w:vAlign w:val="top"/>
          </w:tcPr>
          <w:p>
            <w:pPr>
              <w:spacing w:after="60"/>
            </w:pPr>
            <w:r>
              <w:rPr>
                <w:rFonts w:ascii="Aptos" w:hAnsi="Aptos"/>
                <w:sz w:val="15"/>
              </w:rPr>
            </w:r>
            <w:r>
              <w:rPr>
                <w:rFonts w:ascii="Aptos" w:hAnsi="Aptos"/>
                <w:b w:val="0"/>
                <w:sz w:val="15"/>
              </w:rPr>
              <w:t>Development cost</w:t>
            </w:r>
          </w:p>
        </w:tc>
      </w:tr>
      <w:tr>
        <w:tc>
          <w:tcPr>
            <w:tcW w:type="dxa" w:w="1800"/>
            <w:vAlign w:val="top"/>
          </w:tcPr>
          <w:p>
            <w:pPr>
              <w:spacing w:after="60"/>
            </w:pPr>
            <w:r>
              <w:rPr>
                <w:rFonts w:ascii="Aptos" w:hAnsi="Aptos"/>
                <w:sz w:val="15"/>
              </w:rPr>
            </w:r>
            <w:r>
              <w:rPr>
                <w:rFonts w:ascii="Aptos" w:hAnsi="Aptos"/>
                <w:b w:val="0"/>
                <w:sz w:val="15"/>
              </w:rPr>
              <w:t>Launch</w:t>
            </w:r>
          </w:p>
        </w:tc>
        <w:tc>
          <w:tcPr>
            <w:tcW w:type="dxa" w:w="3600"/>
            <w:vAlign w:val="top"/>
          </w:tcPr>
          <w:p>
            <w:pPr>
              <w:spacing w:after="60"/>
            </w:pPr>
            <w:r>
              <w:rPr>
                <w:rFonts w:ascii="Aptos" w:hAnsi="Aptos"/>
                <w:sz w:val="15"/>
              </w:rPr>
            </w:r>
            <w:r>
              <w:rPr>
                <w:rFonts w:ascii="Aptos" w:hAnsi="Aptos"/>
                <w:b w:val="0"/>
                <w:sz w:val="15"/>
              </w:rPr>
              <w:t>Implement LGPD in the app architecture</w:t>
            </w:r>
          </w:p>
        </w:tc>
        <w:tc>
          <w:tcPr>
            <w:tcW w:type="dxa" w:w="1800"/>
            <w:vAlign w:val="top"/>
          </w:tcPr>
          <w:p>
            <w:pPr>
              <w:spacing w:after="60"/>
            </w:pPr>
            <w:r>
              <w:rPr>
                <w:rFonts w:ascii="Aptos" w:hAnsi="Aptos"/>
                <w:sz w:val="15"/>
              </w:rPr>
            </w:r>
            <w:r>
              <w:rPr>
                <w:rFonts w:ascii="Aptos" w:hAnsi="Aptos"/>
                <w:b w:val="0"/>
                <w:sz w:val="15"/>
              </w:rPr>
              <w:t>Arena developer</w:t>
            </w:r>
          </w:p>
        </w:tc>
        <w:tc>
          <w:tcPr>
            <w:tcW w:type="dxa" w:w="2016"/>
            <w:vAlign w:val="top"/>
          </w:tcPr>
          <w:p>
            <w:pPr>
              <w:spacing w:after="60"/>
            </w:pPr>
            <w:r>
              <w:rPr>
                <w:rFonts w:ascii="Aptos" w:hAnsi="Aptos"/>
                <w:sz w:val="15"/>
              </w:rPr>
            </w:r>
            <w:r>
              <w:rPr>
                <w:rFonts w:ascii="Aptos" w:hAnsi="Aptos"/>
                <w:b w:val="0"/>
                <w:sz w:val="15"/>
              </w:rPr>
              <w:t>Development cost</w:t>
            </w:r>
          </w:p>
        </w:tc>
      </w:tr>
      <w:tr>
        <w:tc>
          <w:tcPr>
            <w:tcW w:type="dxa" w:w="1800"/>
            <w:vAlign w:val="top"/>
          </w:tcPr>
          <w:p>
            <w:pPr>
              <w:spacing w:after="60"/>
            </w:pPr>
            <w:r>
              <w:rPr>
                <w:rFonts w:ascii="Aptos" w:hAnsi="Aptos"/>
                <w:sz w:val="15"/>
              </w:rPr>
            </w:r>
            <w:r>
              <w:rPr>
                <w:rFonts w:ascii="Aptos" w:hAnsi="Aptos"/>
                <w:b w:val="0"/>
                <w:sz w:val="15"/>
              </w:rPr>
              <w:t>Months 3–6</w:t>
            </w:r>
          </w:p>
        </w:tc>
        <w:tc>
          <w:tcPr>
            <w:tcW w:type="dxa" w:w="3600"/>
            <w:vAlign w:val="top"/>
          </w:tcPr>
          <w:p>
            <w:pPr>
              <w:spacing w:after="60"/>
            </w:pPr>
            <w:r>
              <w:rPr>
                <w:rFonts w:ascii="Aptos" w:hAnsi="Aptos"/>
                <w:sz w:val="15"/>
              </w:rPr>
            </w:r>
            <w:r>
              <w:rPr>
                <w:rFonts w:ascii="Aptos" w:hAnsi="Aptos"/>
                <w:b w:val="0"/>
                <w:sz w:val="15"/>
              </w:rPr>
              <w:t>Begin development of the internal invoice issuer using Focus NFe or NFe.io</w:t>
            </w:r>
          </w:p>
        </w:tc>
        <w:tc>
          <w:tcPr>
            <w:tcW w:type="dxa" w:w="1800"/>
            <w:vAlign w:val="top"/>
          </w:tcPr>
          <w:p>
            <w:pPr>
              <w:spacing w:after="60"/>
            </w:pPr>
            <w:r>
              <w:rPr>
                <w:rFonts w:ascii="Aptos" w:hAnsi="Aptos"/>
                <w:sz w:val="15"/>
              </w:rPr>
            </w:r>
            <w:r>
              <w:rPr>
                <w:rFonts w:ascii="Aptos" w:hAnsi="Aptos"/>
                <w:b w:val="0"/>
                <w:sz w:val="15"/>
              </w:rPr>
              <w:t>Arena developer</w:t>
            </w:r>
          </w:p>
        </w:tc>
        <w:tc>
          <w:tcPr>
            <w:tcW w:type="dxa" w:w="2016"/>
            <w:vAlign w:val="top"/>
          </w:tcPr>
          <w:p>
            <w:pPr>
              <w:spacing w:after="60"/>
            </w:pPr>
            <w:r>
              <w:rPr>
                <w:rFonts w:ascii="Aptos" w:hAnsi="Aptos"/>
                <w:sz w:val="15"/>
              </w:rPr>
            </w:r>
            <w:r>
              <w:rPr>
                <w:rFonts w:ascii="Aptos" w:hAnsi="Aptos"/>
                <w:b w:val="0"/>
                <w:sz w:val="15"/>
              </w:rPr>
              <w:t>Development cost</w:t>
            </w:r>
          </w:p>
        </w:tc>
      </w:tr>
      <w:tr>
        <w:tc>
          <w:tcPr>
            <w:tcW w:type="dxa" w:w="1800"/>
            <w:vAlign w:val="top"/>
          </w:tcPr>
          <w:p>
            <w:pPr>
              <w:spacing w:after="60"/>
            </w:pPr>
            <w:r>
              <w:rPr>
                <w:rFonts w:ascii="Aptos" w:hAnsi="Aptos"/>
                <w:sz w:val="15"/>
              </w:rPr>
            </w:r>
            <w:r>
              <w:rPr>
                <w:rFonts w:ascii="Aptos" w:hAnsi="Aptos"/>
                <w:b w:val="0"/>
                <w:sz w:val="15"/>
              </w:rPr>
              <w:t>When reaching R$70,000 in revenue</w:t>
            </w:r>
          </w:p>
        </w:tc>
        <w:tc>
          <w:tcPr>
            <w:tcW w:type="dxa" w:w="3600"/>
            <w:vAlign w:val="top"/>
          </w:tcPr>
          <w:p>
            <w:pPr>
              <w:spacing w:after="60"/>
            </w:pPr>
            <w:r>
              <w:rPr>
                <w:rFonts w:ascii="Aptos" w:hAnsi="Aptos"/>
                <w:sz w:val="15"/>
              </w:rPr>
            </w:r>
            <w:r>
              <w:rPr>
                <w:rFonts w:ascii="Aptos" w:hAnsi="Aptos"/>
                <w:b w:val="0"/>
                <w:sz w:val="15"/>
              </w:rPr>
              <w:t>Hire accountant and begin migration to ME / Simples</w:t>
            </w:r>
          </w:p>
        </w:tc>
        <w:tc>
          <w:tcPr>
            <w:tcW w:type="dxa" w:w="1800"/>
            <w:vAlign w:val="top"/>
          </w:tcPr>
          <w:p>
            <w:pPr>
              <w:spacing w:after="60"/>
            </w:pPr>
            <w:r>
              <w:rPr>
                <w:rFonts w:ascii="Aptos" w:hAnsi="Aptos"/>
                <w:sz w:val="15"/>
              </w:rPr>
            </w:r>
            <w:r>
              <w:rPr>
                <w:rFonts w:ascii="Aptos" w:hAnsi="Aptos"/>
                <w:b w:val="0"/>
                <w:sz w:val="15"/>
              </w:rPr>
              <w:t>Eduardo</w:t>
            </w:r>
          </w:p>
        </w:tc>
        <w:tc>
          <w:tcPr>
            <w:tcW w:type="dxa" w:w="2016"/>
            <w:vAlign w:val="top"/>
          </w:tcPr>
          <w:p>
            <w:pPr>
              <w:spacing w:after="60"/>
            </w:pPr>
            <w:r>
              <w:rPr>
                <w:rFonts w:ascii="Aptos" w:hAnsi="Aptos"/>
                <w:sz w:val="15"/>
              </w:rPr>
            </w:r>
            <w:r>
              <w:rPr>
                <w:rFonts w:ascii="Aptos" w:hAnsi="Aptos"/>
                <w:b w:val="0"/>
                <w:sz w:val="15"/>
              </w:rPr>
              <w:t>R$500–800/month</w:t>
            </w:r>
          </w:p>
        </w:tc>
      </w:tr>
      <w:tr>
        <w:tc>
          <w:tcPr>
            <w:tcW w:type="dxa" w:w="1800"/>
            <w:vAlign w:val="top"/>
          </w:tcPr>
          <w:p>
            <w:pPr>
              <w:spacing w:after="60"/>
            </w:pPr>
            <w:r>
              <w:rPr>
                <w:rFonts w:ascii="Aptos" w:hAnsi="Aptos"/>
                <w:sz w:val="15"/>
              </w:rPr>
            </w:r>
            <w:r>
              <w:rPr>
                <w:rFonts w:ascii="Aptos" w:hAnsi="Aptos"/>
                <w:b w:val="0"/>
                <w:sz w:val="15"/>
              </w:rPr>
              <w:t>Before January 2027</w:t>
            </w:r>
          </w:p>
        </w:tc>
        <w:tc>
          <w:tcPr>
            <w:tcW w:type="dxa" w:w="3600"/>
            <w:vAlign w:val="top"/>
          </w:tcPr>
          <w:p>
            <w:pPr>
              <w:spacing w:after="60"/>
            </w:pPr>
            <w:r>
              <w:rPr>
                <w:rFonts w:ascii="Aptos" w:hAnsi="Aptos"/>
                <w:sz w:val="15"/>
              </w:rPr>
            </w:r>
            <w:r>
              <w:rPr>
                <w:rFonts w:ascii="Aptos" w:hAnsi="Aptos"/>
                <w:b w:val="0"/>
                <w:sz w:val="15"/>
              </w:rPr>
              <w:t>Phase 2 operational: mandatory CNPJ and active invoice issuer for all sellers</w:t>
            </w:r>
          </w:p>
        </w:tc>
        <w:tc>
          <w:tcPr>
            <w:tcW w:type="dxa" w:w="1800"/>
            <w:vAlign w:val="top"/>
          </w:tcPr>
          <w:p>
            <w:pPr>
              <w:spacing w:after="60"/>
            </w:pPr>
            <w:r>
              <w:rPr>
                <w:rFonts w:ascii="Aptos" w:hAnsi="Aptos"/>
                <w:sz w:val="15"/>
              </w:rPr>
            </w:r>
            <w:r>
              <w:rPr>
                <w:rFonts w:ascii="Aptos" w:hAnsi="Aptos"/>
                <w:b w:val="0"/>
                <w:sz w:val="15"/>
              </w:rPr>
              <w:t>Arena developer</w:t>
            </w:r>
          </w:p>
        </w:tc>
        <w:tc>
          <w:tcPr>
            <w:tcW w:type="dxa" w:w="2016"/>
            <w:vAlign w:val="top"/>
          </w:tcPr>
          <w:p>
            <w:pPr>
              <w:spacing w:after="60"/>
            </w:pPr>
            <w:r>
              <w:rPr>
                <w:rFonts w:ascii="Aptos" w:hAnsi="Aptos"/>
                <w:sz w:val="15"/>
              </w:rPr>
            </w:r>
            <w:r>
              <w:rPr>
                <w:rFonts w:ascii="Aptos" w:hAnsi="Aptos"/>
                <w:b w:val="0"/>
                <w:sz w:val="15"/>
              </w:rPr>
              <w:t>—</w:t>
            </w:r>
          </w:p>
        </w:tc>
      </w:tr>
    </w:tbl>
    <w:p/>
    <w:p>
      <w:pPr>
        <w:pStyle w:val="Heading1"/>
      </w:pPr>
      <w:r>
        <w:t>10. Quick Glossary</w:t>
      </w:r>
    </w:p>
    <w:tbl>
      <w:tblPr>
        <w:tblStyle w:val="TableGrid"/>
        <w:tblW w:type="auto" w:w="0"/>
        <w:jc w:val="center"/>
        <w:tblLook w:firstColumn="1" w:firstRow="1" w:lastColumn="0" w:lastRow="0" w:noHBand="0" w:noVBand="1" w:val="04A0"/>
      </w:tblPr>
      <w:tblGrid>
        <w:gridCol w:w="5040"/>
        <w:gridCol w:w="5040"/>
      </w:tblGrid>
      <w:tr>
        <w:tc>
          <w:tcPr>
            <w:tcW w:type="dxa" w:w="1944"/>
            <w:shd w:fill="D9EAF7"/>
            <w:vAlign w:val="center"/>
          </w:tcPr>
          <w:p>
            <w:pPr>
              <w:spacing w:after="60"/>
            </w:pPr>
            <w:r>
              <w:rPr>
                <w:rFonts w:ascii="Aptos" w:hAnsi="Aptos"/>
                <w:sz w:val="15"/>
              </w:rPr>
            </w:r>
            <w:r>
              <w:rPr>
                <w:rFonts w:ascii="Aptos" w:hAnsi="Aptos"/>
                <w:b/>
                <w:sz w:val="15"/>
              </w:rPr>
              <w:t>Term</w:t>
            </w:r>
          </w:p>
        </w:tc>
        <w:tc>
          <w:tcPr>
            <w:tcW w:type="dxa" w:w="7200"/>
            <w:shd w:fill="D9EAF7"/>
            <w:vAlign w:val="center"/>
          </w:tcPr>
          <w:p>
            <w:pPr>
              <w:spacing w:after="60"/>
            </w:pPr>
            <w:r>
              <w:rPr>
                <w:rFonts w:ascii="Aptos" w:hAnsi="Aptos"/>
                <w:sz w:val="15"/>
              </w:rPr>
            </w:r>
            <w:r>
              <w:rPr>
                <w:rFonts w:ascii="Aptos" w:hAnsi="Aptos"/>
                <w:b/>
                <w:sz w:val="15"/>
              </w:rPr>
              <w:t>Meaning</w:t>
            </w:r>
          </w:p>
        </w:tc>
      </w:tr>
      <w:tr>
        <w:tc>
          <w:tcPr>
            <w:tcW w:type="dxa" w:w="1944"/>
            <w:vAlign w:val="top"/>
          </w:tcPr>
          <w:p>
            <w:pPr>
              <w:spacing w:after="60"/>
            </w:pPr>
            <w:r>
              <w:rPr>
                <w:rFonts w:ascii="Aptos" w:hAnsi="Aptos"/>
                <w:sz w:val="15"/>
              </w:rPr>
            </w:r>
            <w:r>
              <w:rPr>
                <w:rFonts w:ascii="Aptos" w:hAnsi="Aptos"/>
                <w:b w:val="0"/>
                <w:sz w:val="15"/>
              </w:rPr>
              <w:t>NF-e (model 55)</w:t>
            </w:r>
          </w:p>
        </w:tc>
        <w:tc>
          <w:tcPr>
            <w:tcW w:type="dxa" w:w="7200"/>
            <w:vAlign w:val="top"/>
          </w:tcPr>
          <w:p>
            <w:pPr>
              <w:spacing w:after="60"/>
            </w:pPr>
            <w:r>
              <w:rPr>
                <w:rFonts w:ascii="Aptos" w:hAnsi="Aptos"/>
                <w:sz w:val="15"/>
              </w:rPr>
            </w:r>
            <w:r>
              <w:rPr>
                <w:rFonts w:ascii="Aptos" w:hAnsi="Aptos"/>
                <w:b w:val="0"/>
                <w:sz w:val="15"/>
              </w:rPr>
              <w:t>Electronic invoice for physical products, issued by the seller for the product sold.</w:t>
            </w:r>
          </w:p>
        </w:tc>
      </w:tr>
      <w:tr>
        <w:tc>
          <w:tcPr>
            <w:tcW w:type="dxa" w:w="1944"/>
            <w:vAlign w:val="top"/>
          </w:tcPr>
          <w:p>
            <w:pPr>
              <w:spacing w:after="60"/>
            </w:pPr>
            <w:r>
              <w:rPr>
                <w:rFonts w:ascii="Aptos" w:hAnsi="Aptos"/>
                <w:sz w:val="15"/>
              </w:rPr>
            </w:r>
            <w:r>
              <w:rPr>
                <w:rFonts w:ascii="Aptos" w:hAnsi="Aptos"/>
                <w:b w:val="0"/>
                <w:sz w:val="15"/>
              </w:rPr>
              <w:t>NFS-e</w:t>
            </w:r>
          </w:p>
        </w:tc>
        <w:tc>
          <w:tcPr>
            <w:tcW w:type="dxa" w:w="7200"/>
            <w:vAlign w:val="top"/>
          </w:tcPr>
          <w:p>
            <w:pPr>
              <w:spacing w:after="60"/>
            </w:pPr>
            <w:r>
              <w:rPr>
                <w:rFonts w:ascii="Aptos" w:hAnsi="Aptos"/>
                <w:sz w:val="15"/>
              </w:rPr>
            </w:r>
            <w:r>
              <w:rPr>
                <w:rFonts w:ascii="Aptos" w:hAnsi="Aptos"/>
                <w:b w:val="0"/>
                <w:sz w:val="15"/>
              </w:rPr>
              <w:t>Electronic service invoice, issued by Avance Labs for the intermediary commission.</w:t>
            </w:r>
          </w:p>
        </w:tc>
      </w:tr>
      <w:tr>
        <w:tc>
          <w:tcPr>
            <w:tcW w:type="dxa" w:w="1944"/>
            <w:vAlign w:val="top"/>
          </w:tcPr>
          <w:p>
            <w:pPr>
              <w:spacing w:after="60"/>
            </w:pPr>
            <w:r>
              <w:rPr>
                <w:rFonts w:ascii="Aptos" w:hAnsi="Aptos"/>
                <w:sz w:val="15"/>
              </w:rPr>
            </w:r>
            <w:r>
              <w:rPr>
                <w:rFonts w:ascii="Aptos" w:hAnsi="Aptos"/>
                <w:b w:val="0"/>
                <w:sz w:val="15"/>
              </w:rPr>
              <w:t>DANFE</w:t>
            </w:r>
          </w:p>
        </w:tc>
        <w:tc>
          <w:tcPr>
            <w:tcW w:type="dxa" w:w="7200"/>
            <w:vAlign w:val="top"/>
          </w:tcPr>
          <w:p>
            <w:pPr>
              <w:spacing w:after="60"/>
            </w:pPr>
            <w:r>
              <w:rPr>
                <w:rFonts w:ascii="Aptos" w:hAnsi="Aptos"/>
                <w:sz w:val="15"/>
              </w:rPr>
            </w:r>
            <w:r>
              <w:rPr>
                <w:rFonts w:ascii="Aptos" w:hAnsi="Aptos"/>
                <w:b w:val="0"/>
                <w:sz w:val="15"/>
              </w:rPr>
              <w:t>Auxiliary NF-e document: printed/PDF version of the invoice that accompanies the goods during transportation.</w:t>
            </w:r>
          </w:p>
        </w:tc>
      </w:tr>
      <w:tr>
        <w:tc>
          <w:tcPr>
            <w:tcW w:type="dxa" w:w="1944"/>
            <w:vAlign w:val="top"/>
          </w:tcPr>
          <w:p>
            <w:pPr>
              <w:spacing w:after="60"/>
            </w:pPr>
            <w:r>
              <w:rPr>
                <w:rFonts w:ascii="Aptos" w:hAnsi="Aptos"/>
                <w:sz w:val="15"/>
              </w:rPr>
            </w:r>
            <w:r>
              <w:rPr>
                <w:rFonts w:ascii="Aptos" w:hAnsi="Aptos"/>
                <w:b w:val="0"/>
                <w:sz w:val="15"/>
              </w:rPr>
              <w:t>Payment split</w:t>
            </w:r>
          </w:p>
        </w:tc>
        <w:tc>
          <w:tcPr>
            <w:tcW w:type="dxa" w:w="7200"/>
            <w:vAlign w:val="top"/>
          </w:tcPr>
          <w:p>
            <w:pPr>
              <w:spacing w:after="60"/>
            </w:pPr>
            <w:r>
              <w:rPr>
                <w:rFonts w:ascii="Aptos" w:hAnsi="Aptos"/>
                <w:sz w:val="15"/>
              </w:rPr>
            </w:r>
            <w:r>
              <w:rPr>
                <w:rFonts w:ascii="Aptos" w:hAnsi="Aptos"/>
                <w:b w:val="0"/>
                <w:sz w:val="15"/>
              </w:rPr>
              <w:t>Automatic division of the sale amount among parties, such as marketplace and seller, by the payment gateway.</w:t>
            </w:r>
          </w:p>
        </w:tc>
      </w:tr>
      <w:tr>
        <w:tc>
          <w:tcPr>
            <w:tcW w:type="dxa" w:w="1944"/>
            <w:vAlign w:val="top"/>
          </w:tcPr>
          <w:p>
            <w:pPr>
              <w:spacing w:after="60"/>
            </w:pPr>
            <w:r>
              <w:rPr>
                <w:rFonts w:ascii="Aptos" w:hAnsi="Aptos"/>
                <w:sz w:val="15"/>
              </w:rPr>
            </w:r>
            <w:r>
              <w:rPr>
                <w:rFonts w:ascii="Aptos" w:hAnsi="Aptos"/>
                <w:b w:val="0"/>
                <w:sz w:val="15"/>
              </w:rPr>
              <w:t>MEI</w:t>
            </w:r>
          </w:p>
        </w:tc>
        <w:tc>
          <w:tcPr>
            <w:tcW w:type="dxa" w:w="7200"/>
            <w:vAlign w:val="top"/>
          </w:tcPr>
          <w:p>
            <w:pPr>
              <w:spacing w:after="60"/>
            </w:pPr>
            <w:r>
              <w:rPr>
                <w:rFonts w:ascii="Aptos" w:hAnsi="Aptos"/>
                <w:sz w:val="15"/>
              </w:rPr>
            </w:r>
            <w:r>
              <w:rPr>
                <w:rFonts w:ascii="Aptos" w:hAnsi="Aptos"/>
                <w:b w:val="0"/>
                <w:sz w:val="15"/>
              </w:rPr>
              <w:t>Individual Microentrepreneur: R$81,000/year limit, fixed monthly DAS of approximately R$86, and no percentage tax over revenue.</w:t>
            </w:r>
          </w:p>
        </w:tc>
      </w:tr>
      <w:tr>
        <w:tc>
          <w:tcPr>
            <w:tcW w:type="dxa" w:w="1944"/>
            <w:vAlign w:val="top"/>
          </w:tcPr>
          <w:p>
            <w:pPr>
              <w:spacing w:after="60"/>
            </w:pPr>
            <w:r>
              <w:rPr>
                <w:rFonts w:ascii="Aptos" w:hAnsi="Aptos"/>
                <w:sz w:val="15"/>
              </w:rPr>
            </w:r>
            <w:r>
              <w:rPr>
                <w:rFonts w:ascii="Aptos" w:hAnsi="Aptos"/>
                <w:b w:val="0"/>
                <w:sz w:val="15"/>
              </w:rPr>
              <w:t>ME</w:t>
            </w:r>
          </w:p>
        </w:tc>
        <w:tc>
          <w:tcPr>
            <w:tcW w:type="dxa" w:w="7200"/>
            <w:vAlign w:val="top"/>
          </w:tcPr>
          <w:p>
            <w:pPr>
              <w:spacing w:after="60"/>
            </w:pPr>
            <w:r>
              <w:rPr>
                <w:rFonts w:ascii="Aptos" w:hAnsi="Aptos"/>
                <w:sz w:val="15"/>
              </w:rPr>
            </w:r>
            <w:r>
              <w:rPr>
                <w:rFonts w:ascii="Aptos" w:hAnsi="Aptos"/>
                <w:b w:val="0"/>
                <w:sz w:val="15"/>
              </w:rPr>
              <w:t>Microenterprise under Simples Nacional, with 4–6% tax over revenue plus accountant and ancillary obligations.</w:t>
            </w:r>
          </w:p>
        </w:tc>
      </w:tr>
      <w:tr>
        <w:tc>
          <w:tcPr>
            <w:tcW w:type="dxa" w:w="1944"/>
            <w:vAlign w:val="top"/>
          </w:tcPr>
          <w:p>
            <w:pPr>
              <w:spacing w:after="60"/>
            </w:pPr>
            <w:r>
              <w:rPr>
                <w:rFonts w:ascii="Aptos" w:hAnsi="Aptos"/>
                <w:sz w:val="15"/>
              </w:rPr>
            </w:r>
            <w:r>
              <w:rPr>
                <w:rFonts w:ascii="Aptos" w:hAnsi="Aptos"/>
                <w:b w:val="0"/>
                <w:sz w:val="15"/>
              </w:rPr>
              <w:t>DAS</w:t>
            </w:r>
          </w:p>
        </w:tc>
        <w:tc>
          <w:tcPr>
            <w:tcW w:type="dxa" w:w="7200"/>
            <w:vAlign w:val="top"/>
          </w:tcPr>
          <w:p>
            <w:pPr>
              <w:spacing w:after="60"/>
            </w:pPr>
            <w:r>
              <w:rPr>
                <w:rFonts w:ascii="Aptos" w:hAnsi="Aptos"/>
                <w:sz w:val="15"/>
              </w:rPr>
            </w:r>
            <w:r>
              <w:rPr>
                <w:rFonts w:ascii="Aptos" w:hAnsi="Aptos"/>
                <w:b w:val="0"/>
                <w:sz w:val="15"/>
              </w:rPr>
              <w:t>Simples tax collection document: the MEI monthly tax slip.</w:t>
            </w:r>
          </w:p>
        </w:tc>
      </w:tr>
      <w:tr>
        <w:tc>
          <w:tcPr>
            <w:tcW w:type="dxa" w:w="1944"/>
            <w:vAlign w:val="top"/>
          </w:tcPr>
          <w:p>
            <w:pPr>
              <w:spacing w:after="60"/>
            </w:pPr>
            <w:r>
              <w:rPr>
                <w:rFonts w:ascii="Aptos" w:hAnsi="Aptos"/>
                <w:sz w:val="15"/>
              </w:rPr>
            </w:r>
            <w:r>
              <w:rPr>
                <w:rFonts w:ascii="Aptos" w:hAnsi="Aptos"/>
                <w:b w:val="0"/>
                <w:sz w:val="15"/>
              </w:rPr>
              <w:t>ISS</w:t>
            </w:r>
          </w:p>
        </w:tc>
        <w:tc>
          <w:tcPr>
            <w:tcW w:type="dxa" w:w="7200"/>
            <w:vAlign w:val="top"/>
          </w:tcPr>
          <w:p>
            <w:pPr>
              <w:spacing w:after="60"/>
            </w:pPr>
            <w:r>
              <w:rPr>
                <w:rFonts w:ascii="Aptos" w:hAnsi="Aptos"/>
                <w:sz w:val="15"/>
              </w:rPr>
            </w:r>
            <w:r>
              <w:rPr>
                <w:rFonts w:ascii="Aptos" w:hAnsi="Aptos"/>
                <w:b w:val="0"/>
                <w:sz w:val="15"/>
              </w:rPr>
              <w:t>Service tax charged on Avance Labs’ commission / NFS-e, municipal rate usually between 2–5%.</w:t>
            </w:r>
          </w:p>
        </w:tc>
      </w:tr>
      <w:tr>
        <w:tc>
          <w:tcPr>
            <w:tcW w:type="dxa" w:w="1944"/>
            <w:vAlign w:val="top"/>
          </w:tcPr>
          <w:p>
            <w:pPr>
              <w:spacing w:after="60"/>
            </w:pPr>
            <w:r>
              <w:rPr>
                <w:rFonts w:ascii="Aptos" w:hAnsi="Aptos"/>
                <w:sz w:val="15"/>
              </w:rPr>
            </w:r>
            <w:r>
              <w:rPr>
                <w:rFonts w:ascii="Aptos" w:hAnsi="Aptos"/>
                <w:b w:val="0"/>
                <w:sz w:val="15"/>
              </w:rPr>
              <w:t>ICMS</w:t>
            </w:r>
          </w:p>
        </w:tc>
        <w:tc>
          <w:tcPr>
            <w:tcW w:type="dxa" w:w="7200"/>
            <w:vAlign w:val="top"/>
          </w:tcPr>
          <w:p>
            <w:pPr>
              <w:spacing w:after="60"/>
            </w:pPr>
            <w:r>
              <w:rPr>
                <w:rFonts w:ascii="Aptos" w:hAnsi="Aptos"/>
                <w:sz w:val="15"/>
              </w:rPr>
            </w:r>
            <w:r>
              <w:rPr>
                <w:rFonts w:ascii="Aptos" w:hAnsi="Aptos"/>
                <w:b w:val="0"/>
                <w:sz w:val="15"/>
              </w:rPr>
              <w:t>Tax on circulation of goods, paid by the seller on the physical product, at state level.</w:t>
            </w:r>
          </w:p>
        </w:tc>
      </w:tr>
      <w:tr>
        <w:tc>
          <w:tcPr>
            <w:tcW w:type="dxa" w:w="1944"/>
            <w:vAlign w:val="top"/>
          </w:tcPr>
          <w:p>
            <w:pPr>
              <w:spacing w:after="60"/>
            </w:pPr>
            <w:r>
              <w:rPr>
                <w:rFonts w:ascii="Aptos" w:hAnsi="Aptos"/>
                <w:sz w:val="15"/>
              </w:rPr>
            </w:r>
            <w:r>
              <w:rPr>
                <w:rFonts w:ascii="Aptos" w:hAnsi="Aptos"/>
                <w:b w:val="0"/>
                <w:sz w:val="15"/>
              </w:rPr>
              <w:t>IBS/CBS</w:t>
            </w:r>
          </w:p>
        </w:tc>
        <w:tc>
          <w:tcPr>
            <w:tcW w:type="dxa" w:w="7200"/>
            <w:vAlign w:val="top"/>
          </w:tcPr>
          <w:p>
            <w:pPr>
              <w:spacing w:after="60"/>
            </w:pPr>
            <w:r>
              <w:rPr>
                <w:rFonts w:ascii="Aptos" w:hAnsi="Aptos"/>
                <w:sz w:val="15"/>
              </w:rPr>
            </w:r>
            <w:r>
              <w:rPr>
                <w:rFonts w:ascii="Aptos" w:hAnsi="Aptos"/>
                <w:b w:val="0"/>
                <w:sz w:val="15"/>
              </w:rPr>
              <w:t>New taxes under the Brazilian Tax Reform, replacing ICMS/ISS and PIS/COFINS, with full implementation expected in 2027.</w:t>
            </w:r>
          </w:p>
        </w:tc>
      </w:tr>
      <w:tr>
        <w:tc>
          <w:tcPr>
            <w:tcW w:type="dxa" w:w="1944"/>
            <w:vAlign w:val="top"/>
          </w:tcPr>
          <w:p>
            <w:pPr>
              <w:spacing w:after="60"/>
            </w:pPr>
            <w:r>
              <w:rPr>
                <w:rFonts w:ascii="Aptos" w:hAnsi="Aptos"/>
                <w:sz w:val="15"/>
              </w:rPr>
            </w:r>
            <w:r>
              <w:rPr>
                <w:rFonts w:ascii="Aptos" w:hAnsi="Aptos"/>
                <w:b w:val="0"/>
                <w:sz w:val="15"/>
              </w:rPr>
              <w:t>NT 2020.006</w:t>
            </w:r>
          </w:p>
        </w:tc>
        <w:tc>
          <w:tcPr>
            <w:tcW w:type="dxa" w:w="7200"/>
            <w:vAlign w:val="top"/>
          </w:tcPr>
          <w:p>
            <w:pPr>
              <w:spacing w:after="60"/>
            </w:pPr>
            <w:r>
              <w:rPr>
                <w:rFonts w:ascii="Aptos" w:hAnsi="Aptos"/>
                <w:sz w:val="15"/>
              </w:rPr>
            </w:r>
            <w:r>
              <w:rPr>
                <w:rFonts w:ascii="Aptos" w:hAnsi="Aptos"/>
                <w:b w:val="0"/>
                <w:sz w:val="15"/>
              </w:rPr>
              <w:t>Technical Note requiring intermediary fields in NF-e, such as marketplace CNPJ and seller ID.</w:t>
            </w:r>
          </w:p>
        </w:tc>
      </w:tr>
      <w:tr>
        <w:tc>
          <w:tcPr>
            <w:tcW w:type="dxa" w:w="1944"/>
            <w:vAlign w:val="top"/>
          </w:tcPr>
          <w:p>
            <w:pPr>
              <w:spacing w:after="60"/>
            </w:pPr>
            <w:r>
              <w:rPr>
                <w:rFonts w:ascii="Aptos" w:hAnsi="Aptos"/>
                <w:sz w:val="15"/>
              </w:rPr>
            </w:r>
            <w:r>
              <w:rPr>
                <w:rFonts w:ascii="Aptos" w:hAnsi="Aptos"/>
                <w:b w:val="0"/>
                <w:sz w:val="15"/>
              </w:rPr>
              <w:t>LC 214/2025</w:t>
            </w:r>
          </w:p>
        </w:tc>
        <w:tc>
          <w:tcPr>
            <w:tcW w:type="dxa" w:w="7200"/>
            <w:vAlign w:val="top"/>
          </w:tcPr>
          <w:p>
            <w:pPr>
              <w:spacing w:after="60"/>
            </w:pPr>
            <w:r>
              <w:rPr>
                <w:rFonts w:ascii="Aptos" w:hAnsi="Aptos"/>
                <w:sz w:val="15"/>
              </w:rPr>
            </w:r>
            <w:r>
              <w:rPr>
                <w:rFonts w:ascii="Aptos" w:hAnsi="Aptos"/>
                <w:b w:val="0"/>
                <w:sz w:val="15"/>
              </w:rPr>
              <w:t>Complementary Law of the Tax Reform creating marketplace joint liability.</w:t>
            </w:r>
          </w:p>
        </w:tc>
      </w:tr>
      <w:tr>
        <w:tc>
          <w:tcPr>
            <w:tcW w:type="dxa" w:w="1944"/>
            <w:vAlign w:val="top"/>
          </w:tcPr>
          <w:p>
            <w:pPr>
              <w:spacing w:after="60"/>
            </w:pPr>
            <w:r>
              <w:rPr>
                <w:rFonts w:ascii="Aptos" w:hAnsi="Aptos"/>
                <w:sz w:val="15"/>
              </w:rPr>
            </w:r>
            <w:r>
              <w:rPr>
                <w:rFonts w:ascii="Aptos" w:hAnsi="Aptos"/>
                <w:b w:val="0"/>
                <w:sz w:val="15"/>
              </w:rPr>
              <w:t>A1 Certificate</w:t>
            </w:r>
          </w:p>
        </w:tc>
        <w:tc>
          <w:tcPr>
            <w:tcW w:type="dxa" w:w="7200"/>
            <w:vAlign w:val="top"/>
          </w:tcPr>
          <w:p>
            <w:pPr>
              <w:spacing w:after="60"/>
            </w:pPr>
            <w:r>
              <w:rPr>
                <w:rFonts w:ascii="Aptos" w:hAnsi="Aptos"/>
                <w:sz w:val="15"/>
              </w:rPr>
            </w:r>
            <w:r>
              <w:rPr>
                <w:rFonts w:ascii="Aptos" w:hAnsi="Aptos"/>
                <w:b w:val="0"/>
                <w:sz w:val="15"/>
              </w:rPr>
              <w:t>Seller digital certificate required to sign and issue NF-e.</w:t>
            </w:r>
          </w:p>
        </w:tc>
      </w:tr>
      <w:tr>
        <w:tc>
          <w:tcPr>
            <w:tcW w:type="dxa" w:w="1944"/>
            <w:vAlign w:val="top"/>
          </w:tcPr>
          <w:p>
            <w:pPr>
              <w:spacing w:after="60"/>
            </w:pPr>
            <w:r>
              <w:rPr>
                <w:rFonts w:ascii="Aptos" w:hAnsi="Aptos"/>
                <w:sz w:val="15"/>
              </w:rPr>
            </w:r>
            <w:r>
              <w:rPr>
                <w:rFonts w:ascii="Aptos" w:hAnsi="Aptos"/>
                <w:b w:val="0"/>
                <w:sz w:val="15"/>
              </w:rPr>
              <w:t>SEFAZ</w:t>
            </w:r>
          </w:p>
        </w:tc>
        <w:tc>
          <w:tcPr>
            <w:tcW w:type="dxa" w:w="7200"/>
            <w:vAlign w:val="top"/>
          </w:tcPr>
          <w:p>
            <w:pPr>
              <w:spacing w:after="60"/>
            </w:pPr>
            <w:r>
              <w:rPr>
                <w:rFonts w:ascii="Aptos" w:hAnsi="Aptos"/>
                <w:sz w:val="15"/>
              </w:rPr>
            </w:r>
            <w:r>
              <w:rPr>
                <w:rFonts w:ascii="Aptos" w:hAnsi="Aptos"/>
                <w:b w:val="0"/>
                <w:sz w:val="15"/>
              </w:rPr>
              <w:t>State Finance Department, which authorizes sellers’ NF-e.</w:t>
            </w:r>
          </w:p>
        </w:tc>
      </w:tr>
      <w:tr>
        <w:tc>
          <w:tcPr>
            <w:tcW w:type="dxa" w:w="1944"/>
            <w:vAlign w:val="top"/>
          </w:tcPr>
          <w:p>
            <w:pPr>
              <w:spacing w:after="60"/>
            </w:pPr>
            <w:r>
              <w:rPr>
                <w:rFonts w:ascii="Aptos" w:hAnsi="Aptos"/>
                <w:sz w:val="15"/>
              </w:rPr>
            </w:r>
            <w:r>
              <w:rPr>
                <w:rFonts w:ascii="Aptos" w:hAnsi="Aptos"/>
                <w:b w:val="0"/>
                <w:sz w:val="15"/>
              </w:rPr>
              <w:t>GMV</w:t>
            </w:r>
          </w:p>
        </w:tc>
        <w:tc>
          <w:tcPr>
            <w:tcW w:type="dxa" w:w="7200"/>
            <w:vAlign w:val="top"/>
          </w:tcPr>
          <w:p>
            <w:pPr>
              <w:spacing w:after="60"/>
            </w:pPr>
            <w:r>
              <w:rPr>
                <w:rFonts w:ascii="Aptos" w:hAnsi="Aptos"/>
                <w:sz w:val="15"/>
              </w:rPr>
            </w:r>
            <w:r>
              <w:rPr>
                <w:rFonts w:ascii="Aptos" w:hAnsi="Aptos"/>
                <w:b w:val="0"/>
                <w:sz w:val="15"/>
              </w:rPr>
              <w:t>Gross Merchandise Value: total gross volume of merchandise transacted on the platform.</w:t>
            </w:r>
          </w:p>
        </w:tc>
      </w:tr>
      <w:tr>
        <w:tc>
          <w:tcPr>
            <w:tcW w:type="dxa" w:w="1944"/>
            <w:vAlign w:val="top"/>
          </w:tcPr>
          <w:p>
            <w:pPr>
              <w:spacing w:after="60"/>
            </w:pPr>
            <w:r>
              <w:rPr>
                <w:rFonts w:ascii="Aptos" w:hAnsi="Aptos"/>
                <w:sz w:val="15"/>
              </w:rPr>
            </w:r>
            <w:r>
              <w:rPr>
                <w:rFonts w:ascii="Aptos" w:hAnsi="Aptos"/>
                <w:b w:val="0"/>
                <w:sz w:val="15"/>
              </w:rPr>
              <w:t>Chargeback</w:t>
            </w:r>
          </w:p>
        </w:tc>
        <w:tc>
          <w:tcPr>
            <w:tcW w:type="dxa" w:w="7200"/>
            <w:vAlign w:val="top"/>
          </w:tcPr>
          <w:p>
            <w:pPr>
              <w:spacing w:after="60"/>
            </w:pPr>
            <w:r>
              <w:rPr>
                <w:rFonts w:ascii="Aptos" w:hAnsi="Aptos"/>
                <w:sz w:val="15"/>
              </w:rPr>
            </w:r>
            <w:r>
              <w:rPr>
                <w:rFonts w:ascii="Aptos" w:hAnsi="Aptos"/>
                <w:b w:val="0"/>
                <w:sz w:val="15"/>
              </w:rPr>
              <w:t>Buyer card payment dispute, resulting in reversal and potential loss to seller or marketplace.</w:t>
            </w:r>
          </w:p>
        </w:tc>
      </w:tr>
      <w:tr>
        <w:tc>
          <w:tcPr>
            <w:tcW w:type="dxa" w:w="1944"/>
            <w:vAlign w:val="top"/>
          </w:tcPr>
          <w:p>
            <w:pPr>
              <w:spacing w:after="60"/>
            </w:pPr>
            <w:r>
              <w:rPr>
                <w:rFonts w:ascii="Aptos" w:hAnsi="Aptos"/>
                <w:sz w:val="15"/>
              </w:rPr>
            </w:r>
            <w:r>
              <w:rPr>
                <w:rFonts w:ascii="Aptos" w:hAnsi="Aptos"/>
                <w:b w:val="0"/>
                <w:sz w:val="15"/>
              </w:rPr>
              <w:t>INPI</w:t>
            </w:r>
          </w:p>
        </w:tc>
        <w:tc>
          <w:tcPr>
            <w:tcW w:type="dxa" w:w="7200"/>
            <w:vAlign w:val="top"/>
          </w:tcPr>
          <w:p>
            <w:pPr>
              <w:spacing w:after="60"/>
            </w:pPr>
            <w:r>
              <w:rPr>
                <w:rFonts w:ascii="Aptos" w:hAnsi="Aptos"/>
                <w:sz w:val="15"/>
              </w:rPr>
            </w:r>
            <w:r>
              <w:rPr>
                <w:rFonts w:ascii="Aptos" w:hAnsi="Aptos"/>
                <w:b w:val="0"/>
                <w:sz w:val="15"/>
              </w:rPr>
              <w:t>Brazilian National Institute of Industrial Property, where trademarks are registered in Brazil.</w:t>
            </w:r>
          </w:p>
        </w:tc>
      </w:tr>
    </w:tbl>
    <w:p/>
    <w:p>
      <w:r>
        <w:br w:type="page"/>
      </w:r>
    </w:p>
    <w:tbl>
      <w:tblPr>
        <w:tblW w:type="auto" w:w="0"/>
        <w:jc w:val="center"/>
        <w:tblLook w:firstColumn="1" w:firstRow="1" w:lastColumn="0" w:lastRow="0" w:noHBand="0" w:noVBand="1" w:val="04A0"/>
      </w:tblPr>
      <w:tblGrid>
        <w:gridCol w:w="10080"/>
      </w:tblGrid>
      <w:tr>
        <w:tc>
          <w:tcPr>
            <w:tcW w:type="dxa" w:w="10080"/>
            <w:shd w:fill="F2F2F2"/>
          </w:tcPr>
          <w:p>
            <w:pPr>
              <w:spacing w:after="60"/>
            </w:pPr>
            <w:r>
              <w:rPr>
                <w:rFonts w:ascii="Aptos" w:hAnsi="Aptos"/>
                <w:sz w:val="15"/>
              </w:rPr>
            </w:r>
            <w:r>
              <w:rPr>
                <w:rFonts w:ascii="Aptos" w:hAnsi="Aptos"/>
                <w:b/>
                <w:sz w:val="20"/>
              </w:rPr>
              <w:t>IMPORTANT NOTICE</w:t>
            </w:r>
          </w:p>
          <w:p>
            <w:pPr>
              <w:spacing w:after="60"/>
            </w:pPr>
            <w:r>
              <w:rPr>
                <w:rFonts w:ascii="Aptos" w:hAnsi="Aptos"/>
                <w:sz w:val="18"/>
              </w:rPr>
              <w:t>This document is a summary of a consulting session and does not replace professional legal or accounting advice. The information reflects legislation in force as of May 2026. The regulation of the Brazilian Tax Reform, including IBS/CBS, is still being defined and may change. Periodic review with an accountant specialized in e-commerce and a lawyer specialized in digital law is recommended.</w:t>
            </w:r>
          </w:p>
        </w:tc>
      </w:tr>
    </w:tbl>
    <w:p/>
    <w:p>
      <w:pPr>
        <w:jc w:val="center"/>
      </w:pPr>
      <w:r>
        <w:rPr>
          <w:i/>
        </w:rPr>
        <w:t>Arena dos Mantos / Avance Labs — May 2026</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Arena dos Mantos / Avance Labs — Complete Briefing (English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