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8080"/>
          <w:sz w:val="21"/>
        </w:rPr>
        <w:t>OPEN AGENT HACKATHON 2026 (22–27/10/2026)  •  ĐỘI THI: LIGHT OF NUMBERS</w:t>
      </w:r>
    </w:p>
    <w:p>
      <w:pPr>
        <w:spacing w:before="0" w:after="120"/>
      </w:pPr>
      <w:r>
        <w:rPr>
          <w:rFonts w:ascii="Calibri" w:hAnsi="Calibri"/>
          <w:b/>
          <w:color w:val="1B365D"/>
          <w:sz w:val="44"/>
        </w:rPr>
        <w:t>TÀI LIỆU NGỮ CẢNH &amp; ĐẶC TẢ KỸ THUẬT DỰ ÁN “MARGINWHY”</w:t>
      </w:r>
    </w:p>
    <w:p>
      <w:pPr>
        <w:spacing w:before="0" w:after="240"/>
      </w:pPr>
      <w:r>
        <w:rPr>
          <w:rFonts w:ascii="Calibri" w:hAnsi="Calibri"/>
          <w:i/>
          <w:color w:val="4A5568"/>
          <w:sz w:val="23"/>
        </w:rPr>
        <w:t>Hồ sơ chuẩn bị ngữ cảnh toàn diện (Context Engineering Blueprint) dùng để nạp cho AI Coding Agent (Cursor) và đồng bộ hóa kiến trúc đa tác tử, tích hợp công nghệ nhà tài trợ, bộ dữ liệu mẫu và quy chuẩn chấm điểm.</w:t>
      </w:r>
    </w:p>
    <w:tbl>
      <w:tblPr>
        <w:tblW w:type="auto" w:w="0"/>
        <w:jc w:val="center"/>
        <w:tblLook w:firstColumn="1" w:firstRow="1" w:lastColumn="0" w:lastRow="0" w:noHBand="0" w:noVBand="1" w:val="04A0"/>
      </w:tblPr>
      <w:tblGrid>
        <w:gridCol w:w="9360"/>
      </w:tblGrid>
      <w:tr>
        <w:trPr>
          <w:cantSplit/>
        </w:trPr>
        <w:tc>
          <w:tcPr>
            <w:tcW w:type="dxa" w:w="9360"/>
            <w:shd w:fill="EBF5F5"/>
            <w:tcBorders>
              <w:left w:val="single" w:sz="24" w:space="0" w:color="008080"/>
              <w:top w:val="single" w:sz="4" w:space="0" w:color="D0D7DE"/>
              <w:right w:val="single" w:sz="4" w:space="0" w:color="D0D7DE"/>
              <w:bottom w:val="single" w:sz="4" w:space="0" w:color="D0D7DE"/>
            </w:tcBorders>
            <w:tcMar>
              <w:top w:w="120" w:type="dxa"/>
              <w:bottom w:w="120" w:type="dxa"/>
              <w:left w:w="180" w:type="dxa"/>
              <w:right w:w="180" w:type="dxa"/>
            </w:tcMar>
          </w:tcPr>
          <w:p>
            <w:pPr>
              <w:spacing w:before="40" w:after="80"/>
            </w:pPr>
            <w:r>
              <w:rPr>
                <w:rFonts w:ascii="Calibri" w:hAnsi="Calibri"/>
                <w:b/>
                <w:color w:val="1B365D"/>
                <w:sz w:val="22"/>
              </w:rPr>
              <w:t>TÓM TẮT ĐỊNH HƯỚNG CHIẾN LƯỢC CHO AI AGENT &amp; ĐỘI LIGHT OF NUMBERS</w:t>
            </w:r>
          </w:p>
          <w:p>
            <w:pPr>
              <w:spacing w:before="20" w:after="60" w:line="269" w:lineRule="auto"/>
            </w:pPr>
            <w:r>
              <w:rPr>
                <w:rFonts w:ascii="Calibri" w:hAnsi="Calibri"/>
                <w:color w:val="1E2229"/>
                <w:sz w:val="21"/>
              </w:rPr>
              <w:t>• Tên dự án thống nhất: MarginWhy — Hệ thống Đa Tác tử Điều tra Nguyên nhân Gốc rễ Sụt giảm Lợi nhuận &amp; Đứt gãy Vận hành Bán lẻ.</w:t>
            </w:r>
          </w:p>
          <w:p>
            <w:pPr>
              <w:spacing w:before="20" w:after="60" w:line="269" w:lineRule="auto"/>
            </w:pPr>
            <w:r>
              <w:rPr>
                <w:rFonts w:ascii="Calibri" w:hAnsi="Calibri"/>
                <w:color w:val="1E2229"/>
                <w:sz w:val="21"/>
              </w:rPr>
              <w:t>• Hạng mục đăng ký chính: Track 02 — The Agent That Can Explain Why (Giải Nhất $1,600) kết hợp săn giải thưởng hiện vật NVIDIA DGX Spark ($4,699) và Cursor Developer Award ($2,301).</w:t>
            </w:r>
          </w:p>
          <w:p>
            <w:pPr>
              <w:spacing w:before="20" w:after="60" w:line="269" w:lineRule="auto"/>
            </w:pPr>
            <w:r>
              <w:rPr>
                <w:rFonts w:ascii="Calibri" w:hAnsi="Calibri"/>
                <w:color w:val="1E2229"/>
                <w:sz w:val="21"/>
              </w:rPr>
              <w:t>• Kiến trúc cốt lõi: Vòng lặp phản biện phi tuyến tính gồm 4 tác tử (HypothesisPlanner -&gt; ZetarisRetriever -&gt; SkepticalCritic -&gt; ActionReportWriter) kết nối qua bộ nhớ phân cấp Meterless H-MEM.</w:t>
            </w:r>
          </w:p>
          <w:p>
            <w:pPr>
              <w:spacing w:before="20" w:after="40" w:line="269" w:lineRule="auto"/>
            </w:pPr>
            <w:r>
              <w:rPr>
                <w:rFonts w:ascii="Calibri" w:hAnsi="Calibri"/>
                <w:color w:val="1E2229"/>
                <w:sz w:val="21"/>
              </w:rPr>
              <w:t>• Nguyên tắc bất khả xâm phạm: Chạy hoàn chỉnh từ một bản clone mới trong dưới 60 giây qua lệnh CLI (`python run.py`), hỗ trợ chế độ offline (`SAMPLE_MODE=true`), cài đặt `timeout=30s` cho mọi kết nối mạng và tuyệt đối không đẩy API key lên GitHub.</w:t>
            </w:r>
          </w:p>
        </w:tc>
      </w:tr>
    </w:tbl>
    <w:p>
      <w:pPr>
        <w:spacing w:before="0" w:after="120"/>
      </w:pPr>
    </w:p>
    <w:p>
      <w:pPr>
        <w:keepNext/>
        <w:spacing w:before="320" w:after="100"/>
        <w:pBdr>
          <w:bottom w:val="single" w:sz="8" w:space="3" w:color="008080"/>
        </w:pBdr>
      </w:pPr>
      <w:r>
        <w:rPr>
          <w:rFonts w:ascii="Calibri" w:hAnsi="Calibri"/>
          <w:b/>
          <w:color w:val="1B365D"/>
          <w:sz w:val="32"/>
        </w:rPr>
        <w:t>1. Bối Cảnh Cuộc Thi, Cơ Cấu Giải Thưởng &amp; Ma Trận Chấm Điểm 100 Điểm</w:t>
      </w:r>
    </w:p>
    <w:p>
      <w:pPr>
        <w:spacing w:after="120" w:line="276" w:lineRule="auto"/>
      </w:pPr>
      <w:r>
        <w:t xml:space="preserve">Theo thể lệ chính thức tại trang chủ </w:t>
      </w:r>
      <w:hyperlink r:id="rId11">
        <w:r>
          <w:rPr>
            <w:rFonts w:ascii="Calibri" w:hAnsi="Calibri"/>
            <w:color w:val="0066CC"/>
            <w:u w:val="single"/>
            <w:sz w:val="22"/>
            <w:szCs w:val="22"/>
          </w:rPr>
          <w:t>Open Agent Hackathon 2026 trên GenAI.Works</w:t>
        </w:r>
      </w:hyperlink>
      <w:r>
        <w:t xml:space="preserve"> và cổng đào tạo kỹ thuật </w:t>
      </w:r>
      <w:hyperlink r:id="rId12">
        <w:r>
          <w:rPr>
            <w:rFonts w:ascii="Calibri" w:hAnsi="Calibri"/>
            <w:color w:val="0066CC"/>
            <w:u w:val="single"/>
            <w:sz w:val="22"/>
            <w:szCs w:val="22"/>
          </w:rPr>
          <w:t>GenAI Academy</w:t>
        </w:r>
      </w:hyperlink>
      <w:r>
        <w:t xml:space="preserve">, cuộc thi diễn ra trực tuyến trong 144 giờ (từ 22/10/2026 đến 27/10/2026, hạn chót nộp bài lúc 23:45 UTC ngày 27/10/2026) với tổng quỹ giải thưởng lên tới $20,000. Chiến lược của đội Light of Numbers (được tổng hợp từ </w:t>
      </w:r>
      <w:hyperlink r:id="rId13">
        <w:r>
          <w:rPr>
            <w:rFonts w:ascii="Calibri" w:hAnsi="Calibri"/>
            <w:color w:val="0066CC"/>
            <w:u w:val="single"/>
            <w:sz w:val="22"/>
            <w:szCs w:val="22"/>
          </w:rPr>
          <w:t>bản tư vấn chiến lược trên Gemini</w:t>
        </w:r>
      </w:hyperlink>
      <w:r>
        <w:t xml:space="preserve"> và thư mục tài nguyên </w:t>
      </w:r>
      <w:hyperlink r:id="rId14">
        <w:r>
          <w:rPr>
            <w:rFonts w:ascii="Calibri" w:hAnsi="Calibri"/>
            <w:color w:val="0066CC"/>
            <w:u w:val="single"/>
            <w:sz w:val="22"/>
            <w:szCs w:val="22"/>
          </w:rPr>
          <w:t>Resources Hub</w:t>
        </w:r>
      </w:hyperlink>
      <w:r>
        <w:t>) là xây dựng một sản phẩm duy nhất nhưng thỏa mãn đồng thời tiêu chí của hạng mục chính và toàn bộ các giải thưởng nhà tài trợ.</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insideV w:val="single" w:sz="4" w:space="0" w:color="D0D7DE"/>
          <w:left w:val="none"/>
          <w:right w:val="none"/>
        </w:tblBorders>
      </w:tblPr>
      <w:tblGrid>
        <w:gridCol w:w="3120"/>
        <w:gridCol w:w="3120"/>
        <w:gridCol w:w="3120"/>
      </w:tblGrid>
      <w:tr>
        <w:trPr>
          <w:tblHeader/>
          <w:cantSplit/>
        </w:trPr>
        <w:tc>
          <w:tcPr>
            <w:tcW w:type="dxa" w:w="2736"/>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Hạng Mục / Giải Thưởng Mục Tiêu</w:t>
            </w:r>
          </w:p>
        </w:tc>
        <w:tc>
          <w:tcPr>
            <w:tcW w:type="dxa" w:w="2088"/>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Giá Trị Giải Thưởng</w:t>
            </w:r>
          </w:p>
        </w:tc>
        <w:tc>
          <w:tcPr>
            <w:tcW w:type="dxa" w:w="4536"/>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Điều Kiện Kỹ Thuật Bắt Buộc Để Đạt Điểm Tối Đa</w:t>
            </w:r>
          </w:p>
        </w:tc>
      </w:tr>
      <w:tr>
        <w:trPr>
          <w:cantSplit/>
        </w:trPr>
        <w:tc>
          <w:tcPr>
            <w:tcW w:type="dxa" w:w="2736"/>
            <w:vAlign w:val="center"/>
            <w:tcMar>
              <w:top w:w="90" w:type="dxa"/>
              <w:bottom w:w="90" w:type="dxa"/>
              <w:left w:w="140" w:type="dxa"/>
              <w:right w:w="140" w:type="dxa"/>
            </w:tcMar>
          </w:tcPr>
          <w:p>
            <w:pPr>
              <w:keepNext/>
              <w:spacing w:before="40" w:after="40" w:line="269" w:lineRule="auto"/>
            </w:pPr>
            <w:r>
              <w:rPr>
                <w:rFonts w:ascii="Calibri" w:hAnsi="Calibri"/>
                <w:b/>
                <w:color w:val="22252A"/>
                <w:sz w:val="20"/>
              </w:rPr>
              <w:t>Track 02 (Primary Track):</w:t>
              <w:br/>
              <w:t>The Agent That Can Explain Why</w:t>
            </w:r>
          </w:p>
        </w:tc>
        <w:tc>
          <w:tcPr>
            <w:tcW w:type="dxa" w:w="2088"/>
            <w:vAlign w:val="center"/>
            <w:tcMar>
              <w:top w:w="90" w:type="dxa"/>
              <w:bottom w:w="90" w:type="dxa"/>
              <w:left w:w="140" w:type="dxa"/>
              <w:right w:w="140" w:type="dxa"/>
            </w:tcMar>
          </w:tcPr>
          <w:p>
            <w:pPr>
              <w:keepNext/>
              <w:spacing w:before="40" w:after="40" w:line="269" w:lineRule="auto"/>
            </w:pPr>
            <w:r>
              <w:rPr>
                <w:rFonts w:ascii="Calibri" w:hAnsi="Calibri"/>
                <w:color w:val="22252A"/>
                <w:sz w:val="20"/>
              </w:rPr>
              <w:t>Tổng quỹ $3,700</w:t>
              <w:br/>
              <w:t>(Giải Nhất: $1,600;</w:t>
              <w:br/>
              <w:t>Nhì: $1,200; Ba: $900)</w:t>
            </w:r>
          </w:p>
        </w:tc>
        <w:tc>
          <w:tcPr>
            <w:tcW w:type="dxa" w:w="4536"/>
            <w:vAlign w:val="center"/>
            <w:tcMar>
              <w:top w:w="90" w:type="dxa"/>
              <w:bottom w:w="90" w:type="dxa"/>
              <w:left w:w="140" w:type="dxa"/>
              <w:right w:w="140" w:type="dxa"/>
            </w:tcMar>
          </w:tcPr>
          <w:p>
            <w:pPr>
              <w:keepNext/>
              <w:spacing w:before="40" w:after="40" w:line="269" w:lineRule="auto"/>
            </w:pPr>
            <w:r>
              <w:rPr>
                <w:rFonts w:ascii="Calibri" w:hAnsi="Calibri"/>
                <w:color w:val="22252A"/>
                <w:sz w:val="20"/>
              </w:rPr>
              <w:t>Xây dựng các tác tử điều tra câu hỏi phức tạp qua nhiều nguồn dữ liệu phân mảnh, kiểm chứng chéo các giả thuyết xung đột và xuất báo cáo nguyên nhân gốc rễ kèm bằng chứng trích dẫn.</w:t>
            </w:r>
          </w:p>
        </w:tc>
      </w:tr>
      <w:tr>
        <w:trPr>
          <w:cantSplit/>
        </w:trPr>
        <w:tc>
          <w:tcPr>
            <w:tcW w:type="dxa" w:w="2736"/>
            <w:vAlign w:val="center"/>
            <w:tcMar>
              <w:top w:w="90" w:type="dxa"/>
              <w:bottom w:w="90" w:type="dxa"/>
              <w:left w:w="140" w:type="dxa"/>
              <w:right w:w="140" w:type="dxa"/>
            </w:tcMar>
            <w:shd w:fill="F0F4F8"/>
          </w:tcPr>
          <w:p>
            <w:pPr>
              <w:keepNext/>
              <w:spacing w:before="40" w:after="40" w:line="269" w:lineRule="auto"/>
            </w:pPr>
            <w:r>
              <w:rPr>
                <w:rFonts w:ascii="Calibri" w:hAnsi="Calibri"/>
                <w:b/>
                <w:color w:val="22252A"/>
                <w:sz w:val="20"/>
              </w:rPr>
              <w:t>In-Kind Sponsor Prize:</w:t>
              <w:br/>
              <w:t>Best Use of NVIDIA Nemotron</w:t>
            </w:r>
          </w:p>
        </w:tc>
        <w:tc>
          <w:tcPr>
            <w:tcW w:type="dxa" w:w="2088"/>
            <w:vAlign w:val="center"/>
            <w:tcMar>
              <w:top w:w="90" w:type="dxa"/>
              <w:bottom w:w="90" w:type="dxa"/>
              <w:left w:w="140" w:type="dxa"/>
              <w:right w:w="140" w:type="dxa"/>
            </w:tcMar>
            <w:shd w:fill="F0F4F8"/>
          </w:tcPr>
          <w:p>
            <w:pPr>
              <w:keepNext/>
              <w:spacing w:before="40" w:after="40" w:line="269" w:lineRule="auto"/>
            </w:pPr>
            <w:r>
              <w:rPr>
                <w:rFonts w:ascii="Calibri" w:hAnsi="Calibri"/>
                <w:color w:val="22252A"/>
                <w:sz w:val="20"/>
              </w:rPr>
              <w:t>01 Siêu máy tính AI</w:t>
              <w:br/>
              <w:t>NVIDIA DGX Spark</w:t>
              <w:br/>
              <w:t>Founder's Edition ($4,699)</w:t>
            </w:r>
          </w:p>
        </w:tc>
        <w:tc>
          <w:tcPr>
            <w:tcW w:type="dxa" w:w="4536"/>
            <w:vAlign w:val="center"/>
            <w:tcMar>
              <w:top w:w="90" w:type="dxa"/>
              <w:bottom w:w="90" w:type="dxa"/>
              <w:left w:w="140" w:type="dxa"/>
              <w:right w:w="140" w:type="dxa"/>
            </w:tcMar>
            <w:shd w:fill="F0F4F8"/>
          </w:tcPr>
          <w:p>
            <w:pPr>
              <w:keepNext/>
              <w:spacing w:before="40" w:after="40" w:line="269" w:lineRule="auto"/>
            </w:pPr>
            <w:r>
              <w:rPr>
                <w:rFonts w:ascii="Calibri" w:hAnsi="Calibri"/>
                <w:color w:val="22252A"/>
                <w:sz w:val="20"/>
              </w:rPr>
              <w:t>Định tuyến toàn bộ yêu cầu suy luận thực tế qua cổng Meterless Nightshift tới mô hình NVIDIA Nemotron (`nvidia/nemotron-3-super-120b-a12b`) và ghi rõ tên mô hình vào tệp log truy vết.</w:t>
            </w:r>
          </w:p>
        </w:tc>
      </w:tr>
      <w:tr>
        <w:trPr>
          <w:cantSplit/>
        </w:trPr>
        <w:tc>
          <w:tcPr>
            <w:tcW w:type="dxa" w:w="2736"/>
            <w:vAlign w:val="center"/>
            <w:tcMar>
              <w:top w:w="90" w:type="dxa"/>
              <w:bottom w:w="90" w:type="dxa"/>
              <w:left w:w="140" w:type="dxa"/>
              <w:right w:w="140" w:type="dxa"/>
            </w:tcMar>
          </w:tcPr>
          <w:p>
            <w:pPr>
              <w:keepNext/>
              <w:spacing w:before="40" w:after="40" w:line="269" w:lineRule="auto"/>
            </w:pPr>
            <w:r>
              <w:rPr>
                <w:rFonts w:ascii="Calibri" w:hAnsi="Calibri"/>
                <w:b/>
                <w:color w:val="22252A"/>
                <w:sz w:val="20"/>
              </w:rPr>
              <w:t>Developer Tool Prize:</w:t>
              <w:br/>
              <w:t>Cursor Developer Award</w:t>
            </w:r>
          </w:p>
        </w:tc>
        <w:tc>
          <w:tcPr>
            <w:tcW w:type="dxa" w:w="2088"/>
            <w:vAlign w:val="center"/>
            <w:tcMar>
              <w:top w:w="90" w:type="dxa"/>
              <w:bottom w:w="90" w:type="dxa"/>
              <w:left w:w="140" w:type="dxa"/>
              <w:right w:w="140" w:type="dxa"/>
            </w:tcMar>
          </w:tcPr>
          <w:p>
            <w:pPr>
              <w:keepNext/>
              <w:spacing w:before="40" w:after="40" w:line="269" w:lineRule="auto"/>
            </w:pPr>
            <w:r>
              <w:rPr>
                <w:rFonts w:ascii="Calibri" w:hAnsi="Calibri"/>
                <w:color w:val="22252A"/>
                <w:sz w:val="20"/>
              </w:rPr>
              <w:t>Gói tài trợ tín dụng</w:t>
              <w:br/>
              <w:t>Cursor API Credits</w:t>
              <w:br/>
              <w:t>($2,301)</w:t>
            </w:r>
          </w:p>
        </w:tc>
        <w:tc>
          <w:tcPr>
            <w:tcW w:type="dxa" w:w="4536"/>
            <w:vAlign w:val="center"/>
            <w:tcMar>
              <w:top w:w="90" w:type="dxa"/>
              <w:bottom w:w="90" w:type="dxa"/>
              <w:left w:w="140" w:type="dxa"/>
              <w:right w:w="140" w:type="dxa"/>
            </w:tcMar>
          </w:tcPr>
          <w:p>
            <w:pPr>
              <w:keepNext/>
              <w:spacing w:before="40" w:after="40" w:line="269" w:lineRule="auto"/>
            </w:pPr>
            <w:r>
              <w:rPr>
                <w:rFonts w:ascii="Calibri" w:hAnsi="Calibri"/>
                <w:color w:val="22252A"/>
                <w:sz w:val="20"/>
              </w:rPr>
              <w:t>Sử dụng Cursor IDE (hợp tác kỹ thuật cùng SpaceXAI) làm công cụ vibe coding chính và khai báo chi tiết quy trình ứng dụng trong cả hai tệp `README.md` và `metadata.json`.</w:t>
            </w:r>
          </w:p>
        </w:tc>
      </w:tr>
      <w:tr>
        <w:trPr>
          <w:cantSplit/>
        </w:trPr>
        <w:tc>
          <w:tcPr>
            <w:tcW w:type="dxa" w:w="2736"/>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Điều Kiện Nền Tảng Bắt Buộc</w:t>
              <w:br/>
              <w:t>(Mandatory Tech Baseline)</w:t>
            </w:r>
          </w:p>
        </w:tc>
        <w:tc>
          <w:tcPr>
            <w:tcW w:type="dxa" w:w="2088"/>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Điều kiện hợp lệ cho</w:t>
              <w:br/>
              <w:t>100% bài dự thi</w:t>
            </w:r>
          </w:p>
        </w:tc>
        <w:tc>
          <w:tcPr>
            <w:tcW w:type="dxa" w:w="4536"/>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Bắt buộc tích hợp tầng dữ liệu Zetaris AI Data Harness chịu tải chính và ít nhất 01 bộ máy của Meterless (`H-MEM`) hoạt động thực tế kèm bộ kiểm thử hợp chuẩn (conformance test).</w:t>
            </w:r>
          </w:p>
        </w:tc>
      </w:tr>
    </w:tbl>
    <w:p>
      <w:pPr>
        <w:spacing w:before="0" w:after="120"/>
      </w:pPr>
    </w:p>
    <w:p>
      <w:pPr>
        <w:keepNext/>
        <w:spacing w:before="80" w:after="60"/>
        <w:jc w:val="center"/>
      </w:pPr>
      <w:r>
        <w:drawing>
          <wp:inline xmlns:a="http://schemas.openxmlformats.org/drawingml/2006/main" xmlns:pic="http://schemas.openxmlformats.org/drawingml/2006/picture">
            <wp:extent cx="5669280" cy="2160856"/>
            <wp:docPr id="1" name="Picture 1"/>
            <wp:cNvGraphicFramePr>
              <a:graphicFrameLocks noChangeAspect="1"/>
            </wp:cNvGraphicFramePr>
            <a:graphic>
              <a:graphicData uri="http://schemas.openxmlformats.org/drawingml/2006/picture">
                <pic:pic>
                  <pic:nvPicPr>
                    <pic:cNvPr id="0" name="hackathon_chart.png"/>
                    <pic:cNvPicPr/>
                  </pic:nvPicPr>
                  <pic:blipFill>
                    <a:blip r:embed="rId15"/>
                    <a:stretch>
                      <a:fillRect/>
                    </a:stretch>
                  </pic:blipFill>
                  <pic:spPr>
                    <a:xfrm>
                      <a:off x="0" y="0"/>
                      <a:ext cx="5669280" cy="2160856"/>
                    </a:xfrm>
                    <a:prstGeom prst="rect"/>
                  </pic:spPr>
                </pic:pic>
              </a:graphicData>
            </a:graphic>
          </wp:inline>
        </w:drawing>
      </w:r>
    </w:p>
    <w:p>
      <w:pPr>
        <w:spacing w:after="200"/>
        <w:jc w:val="center"/>
      </w:pPr>
      <w:r>
        <w:rPr>
          <w:rFonts w:ascii="Calibri" w:hAnsi="Calibri"/>
          <w:i/>
          <w:color w:val="555E6D"/>
          <w:sz w:val="19"/>
        </w:rPr>
        <w:t>Hình 1: Phân bổ thang điểm 100 của Ban giám khảo (trái) và tổ hợp giải thưởng mục tiêu trị giá $8,600 trực tiếp của đội Light of Numbers (phải).</w:t>
      </w:r>
    </w:p>
    <w:p>
      <w:pPr>
        <w:keepNext/>
        <w:spacing w:before="240" w:after="80"/>
      </w:pPr>
      <w:r>
        <w:rPr>
          <w:rFonts w:ascii="Calibri" w:hAnsi="Calibri"/>
          <w:b/>
          <w:color w:val="006666"/>
          <w:sz w:val="26"/>
        </w:rPr>
        <w:t>1.1. Quy Tắc Phân Định Hòa (Tie-Breaker) &amp; Chiến Lược Tối Ưu Hóa Điểm Impact (30 Điểm)</w:t>
      </w:r>
    </w:p>
    <w:p>
      <w:pPr>
        <w:pStyle w:val="ListBullet"/>
        <w:spacing w:before="30" w:after="70" w:line="276" w:lineRule="auto"/>
        <w:ind w:left="360"/>
      </w:pPr>
      <w:r>
        <w:rPr>
          <w:rFonts w:ascii="Calibri" w:hAnsi="Calibri"/>
          <w:b/>
          <w:color w:val="1B365D"/>
          <w:sz w:val="22"/>
        </w:rPr>
        <w:t xml:space="preserve">Ưu tiên tuyệt đối cho điểm Impact (30/100 điểm): </w:t>
      </w:r>
      <w:r>
        <w:rPr>
          <w:rFonts w:ascii="Calibri" w:hAnsi="Calibri"/>
          <w:color w:val="22252A"/>
          <w:sz w:val="22"/>
        </w:rPr>
        <w:t>Trong trường hợp hai đội có tổng điểm bằng nhau, ban giám khảo sẽ xét điểm Impact làm tiêu chí phân định thắng thua đầu tiên, sau đó xét đến thời gian nộp bài sớm hơn. Vì vậy, bài toán của dự án không được dừng ở mức 'trò chuyện chung chung' mà phải gắn chặt với quyết định vận hành doanh nghiệp.</w:t>
      </w:r>
    </w:p>
    <w:p>
      <w:pPr>
        <w:pStyle w:val="ListBullet"/>
        <w:spacing w:before="30" w:after="140" w:line="276" w:lineRule="auto"/>
        <w:ind w:left="360"/>
      </w:pPr>
      <w:r>
        <w:rPr>
          <w:rFonts w:ascii="Calibri" w:hAnsi="Calibri"/>
          <w:b/>
          <w:color w:val="1B365D"/>
          <w:sz w:val="22"/>
        </w:rPr>
        <w:t xml:space="preserve">Loại bỏ sự không nhất quán giữa các bản nháp ý tưởng: </w:t>
      </w:r>
      <w:r>
        <w:rPr>
          <w:rFonts w:ascii="Calibri" w:hAnsi="Calibri"/>
          <w:color w:val="22252A"/>
          <w:sz w:val="22"/>
        </w:rPr>
        <w:t>Trong cuộc trò chuyện ý tưởng ban đầu, hệ thống có hai tên gọi khác nhau là 'MarginWhy' (4 tác tử, dùng tham số `--query`) và 'SupplyTruth' (3 tác tử, dùng tệp JSON). Tài liệu này chính thức chốt tên dự án là MarginWhy với kiến trúc 4 tác tử và hỗ trợ đồng thời cả hai chuẩn đầu vào (`--query` và `--input`) để tương thích với mọi kịch bản chấm tự động.</w:t>
      </w:r>
    </w:p>
    <w:p>
      <w:pPr>
        <w:keepNext/>
        <w:spacing w:before="320" w:after="100"/>
        <w:pBdr>
          <w:bottom w:val="single" w:sz="8" w:space="3" w:color="008080"/>
        </w:pBdr>
      </w:pPr>
      <w:r>
        <w:rPr>
          <w:rFonts w:ascii="Calibri" w:hAnsi="Calibri"/>
          <w:b/>
          <w:color w:val="1B365D"/>
          <w:sz w:val="32"/>
        </w:rPr>
        <w:t>2. Định Nghĩa Bài Toán Nghiệp Vụ &amp; Kiến Trúc Đa Tác Tử “MarginWhy”</w:t>
      </w:r>
    </w:p>
    <w:p>
      <w:pPr>
        <w:keepNext/>
        <w:spacing w:before="240" w:after="80"/>
      </w:pPr>
      <w:r>
        <w:rPr>
          <w:rFonts w:ascii="Calibri" w:hAnsi="Calibri"/>
          <w:b/>
          <w:color w:val="006666"/>
          <w:sz w:val="26"/>
        </w:rPr>
        <w:t>2.1. Tuyên Bố Bài Toán Theo Khung Phương Pháp APPROACH</w:t>
      </w:r>
    </w:p>
    <w:p>
      <w:pPr>
        <w:pStyle w:val="ListBullet"/>
        <w:spacing w:before="30" w:after="70" w:line="276" w:lineRule="auto"/>
        <w:ind w:left="360"/>
      </w:pPr>
      <w:r>
        <w:rPr>
          <w:rFonts w:ascii="Calibri" w:hAnsi="Calibri"/>
          <w:b/>
          <w:color w:val="1B365D"/>
          <w:sz w:val="22"/>
        </w:rPr>
        <w:t xml:space="preserve">Người dùng mục tiêu (Target Persona): </w:t>
      </w:r>
      <w:r>
        <w:rPr>
          <w:rFonts w:ascii="Calibri" w:hAnsi="Calibri"/>
          <w:color w:val="22252A"/>
          <w:sz w:val="22"/>
        </w:rPr>
        <w:t>Giám đốc Vận hành Bán lẻ &amp; Chuỗi cung ứng (Retail Operations &amp; Merchandising Lead) tại các hệ thống bán lẻ đa kênh.</w:t>
      </w:r>
    </w:p>
    <w:p>
      <w:pPr>
        <w:pStyle w:val="ListBullet"/>
        <w:spacing w:before="30" w:after="70" w:line="276" w:lineRule="auto"/>
        <w:ind w:left="360"/>
      </w:pPr>
      <w:r>
        <w:rPr>
          <w:rFonts w:ascii="Calibri" w:hAnsi="Calibri"/>
          <w:b/>
          <w:color w:val="1B365D"/>
          <w:sz w:val="22"/>
        </w:rPr>
        <w:t xml:space="preserve">Bối cảnh &amp; Nỗi đau nghiệp vụ (Problem Statement): </w:t>
      </w:r>
      <w:r>
        <w:rPr>
          <w:rFonts w:ascii="Calibri" w:hAnsi="Calibri"/>
          <w:color w:val="22252A"/>
          <w:sz w:val="22"/>
        </w:rPr>
        <w:t>Khi biên lợi nhuận ròng của một ngành hàng chủ lực (ví dụ: ngành hàng Điện tử trong Quý 3) sụt giảm đột ngột 18.5%, dữ liệu nguyên nhân bị phân mảnh rời rạc giữa bán hàng tại quầy (`store_sales`), thương mại điện tử (`web_sales`), tồn kho (`inventory`), lịch sử hoàn trả hàng (`web_returns`, `catalog_returns` trong `TPCDS_DB`) và dữ liệu giao vận đô thị (`NY_TAXI`). Phân tích viên con người thường mất nhiều ngày truy vấn thủ công hoặc vội vàng kết luận sai do chỉ nhìn vào một bảng dữ liệu đơn lẻ.</w:t>
      </w:r>
    </w:p>
    <w:p>
      <w:pPr>
        <w:pStyle w:val="ListBullet"/>
        <w:spacing w:before="30" w:after="140" w:line="276" w:lineRule="auto"/>
        <w:ind w:left="360"/>
      </w:pPr>
      <w:r>
        <w:rPr>
          <w:rFonts w:ascii="Calibri" w:hAnsi="Calibri"/>
          <w:b/>
          <w:color w:val="1B365D"/>
          <w:sz w:val="22"/>
        </w:rPr>
        <w:t xml:space="preserve">Giải pháp của MarginWhy: </w:t>
      </w:r>
      <w:r>
        <w:rPr>
          <w:rFonts w:ascii="Calibri" w:hAnsi="Calibri"/>
          <w:color w:val="22252A"/>
          <w:sz w:val="22"/>
        </w:rPr>
        <w:t>Tự động phân tách câu hỏi thành các giả thuyết độc lập, truy vấn liên nguồn qua Zetaris, dùng tác tử phản biện độc lập (`SkepticalCritic`) bác bỏ các mối tương quan giả tạo và xuất báo cáo giải thích rõ 'Tại sao' kèm khuyến nghị hành động có trích dẫn chính xác đến từng bảng/dòng dữ liệu.</w:t>
      </w:r>
    </w:p>
    <w:p>
      <w:pPr>
        <w:keepNext/>
        <w:spacing w:before="240" w:after="80"/>
      </w:pPr>
      <w:r>
        <w:rPr>
          <w:rFonts w:ascii="Calibri" w:hAnsi="Calibri"/>
          <w:b/>
          <w:color w:val="006666"/>
          <w:sz w:val="26"/>
        </w:rPr>
        <w:t>2.2. Kiến Trúc Vòng Lặp Phản Biện Phi Tuyến Tính (4 Tác Tử Chuyên Biệt)</w:t>
      </w:r>
    </w:p>
    <w:p>
      <w:pPr>
        <w:spacing w:after="120" w:line="276" w:lineRule="auto"/>
      </w:pPr>
      <w:r>
        <w:t>Điểm khác biệt cốt lõi giúp MarginWhy đạt điểm tối đa ở tiêu chí Technical (20đ) và Innovation (15đ) là kiến trúc vòng lặp có kiểm duyệt (Iterative Critic Loop) thay vì luồng chạy thẳng một chiều:</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insideV w:val="single" w:sz="4" w:space="0" w:color="D0D7DE"/>
          <w:left w:val="none"/>
          <w:right w:val="none"/>
        </w:tblBorders>
      </w:tblPr>
      <w:tblGrid>
        <w:gridCol w:w="3120"/>
        <w:gridCol w:w="3120"/>
        <w:gridCol w:w="3120"/>
      </w:tblGrid>
      <w:tr>
        <w:trPr>
          <w:tblHeader/>
          <w:cantSplit/>
        </w:trPr>
        <w:tc>
          <w:tcPr>
            <w:tcW w:type="dxa" w:w="2520"/>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Tác Tử (Module Python)</w:t>
            </w:r>
          </w:p>
        </w:tc>
        <w:tc>
          <w:tcPr>
            <w:tcW w:type="dxa" w:w="3240"/>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Vai Trò &amp; Quyền Hạn Kỹ Thuật</w:t>
            </w:r>
          </w:p>
        </w:tc>
        <w:tc>
          <w:tcPr>
            <w:tcW w:type="dxa" w:w="3600"/>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Cơ Chế Phối Hợp, Bộ Nhớ H-MEM &amp; Điểm Nhấn Trong Log</w:t>
            </w:r>
          </w:p>
        </w:tc>
      </w:tr>
      <w:tr>
        <w:trPr>
          <w:cantSplit/>
        </w:trPr>
        <w:tc>
          <w:tcPr>
            <w:tcW w:type="dxa" w:w="2520"/>
            <w:vAlign w:val="center"/>
            <w:tcMar>
              <w:top w:w="90" w:type="dxa"/>
              <w:bottom w:w="90" w:type="dxa"/>
              <w:left w:w="140" w:type="dxa"/>
              <w:right w:w="140" w:type="dxa"/>
            </w:tcMar>
          </w:tcPr>
          <w:p>
            <w:pPr>
              <w:keepNext/>
              <w:spacing w:before="40" w:after="40" w:line="269" w:lineRule="auto"/>
            </w:pPr>
            <w:r>
              <w:rPr>
                <w:rFonts w:ascii="Calibri" w:hAnsi="Calibri"/>
                <w:b/>
                <w:color w:val="22252A"/>
                <w:sz w:val="20"/>
              </w:rPr>
              <w:t>1. HypothesisPlanner</w:t>
              <w:br/>
              <w:t>(`app/agents/planner.py`)</w:t>
            </w:r>
          </w:p>
        </w:tc>
        <w:tc>
          <w:tcPr>
            <w:tcW w:type="dxa" w:w="3240"/>
            <w:vAlign w:val="center"/>
            <w:tcMar>
              <w:top w:w="90" w:type="dxa"/>
              <w:bottom w:w="90" w:type="dxa"/>
              <w:left w:w="140" w:type="dxa"/>
              <w:right w:w="140" w:type="dxa"/>
            </w:tcMar>
          </w:tcPr>
          <w:p>
            <w:pPr>
              <w:keepNext/>
              <w:spacing w:before="40" w:after="40" w:line="269" w:lineRule="auto"/>
            </w:pPr>
            <w:r>
              <w:rPr>
                <w:rFonts w:ascii="Calibri" w:hAnsi="Calibri"/>
                <w:color w:val="22252A"/>
                <w:sz w:val="20"/>
              </w:rPr>
              <w:t>Phân tích câu hỏi của người dùng và chia nhỏ thành 3 giả thuyết điều tra độc lập (H1: Khách trả hàng lỗi; H2: Đứt gãy tồn kho khu vực; H3: Đội chi phí giao vận/khuyến mãi).</w:t>
            </w:r>
          </w:p>
        </w:tc>
        <w:tc>
          <w:tcPr>
            <w:tcW w:type="dxa" w:w="3600"/>
            <w:vAlign w:val="center"/>
            <w:tcMar>
              <w:top w:w="90" w:type="dxa"/>
              <w:bottom w:w="90" w:type="dxa"/>
              <w:left w:w="140" w:type="dxa"/>
              <w:right w:w="140" w:type="dxa"/>
            </w:tcMar>
          </w:tcPr>
          <w:p>
            <w:pPr>
              <w:keepNext/>
              <w:spacing w:before="40" w:after="40" w:line="269" w:lineRule="auto"/>
            </w:pPr>
            <w:r>
              <w:rPr>
                <w:rFonts w:ascii="Calibri" w:hAnsi="Calibri"/>
                <w:b/>
                <w:color w:val="1B365D"/>
                <w:sz w:val="20"/>
              </w:rPr>
              <w:t xml:space="preserve">Đọc bộ nhớ H-MEM: </w:t>
            </w:r>
            <w:r>
              <w:rPr>
                <w:rFonts w:ascii="Calibri" w:hAnsi="Calibri"/>
                <w:color w:val="22252A"/>
                <w:sz w:val="20"/>
              </w:rPr>
              <w:t>Kiểm tra danh sách các giả thuyết đã bị bác bỏ ở vòng lặp trước để không lặp lại hướng điều tra cũ, sau đó phân công động (dynamic delegation) cho Retriever.</w:t>
            </w:r>
          </w:p>
        </w:tc>
      </w:tr>
      <w:tr>
        <w:trPr>
          <w:cantSplit/>
        </w:trPr>
        <w:tc>
          <w:tcPr>
            <w:tcW w:type="dxa" w:w="2520"/>
            <w:vAlign w:val="center"/>
            <w:tcMar>
              <w:top w:w="90" w:type="dxa"/>
              <w:bottom w:w="90" w:type="dxa"/>
              <w:left w:w="140" w:type="dxa"/>
              <w:right w:w="140" w:type="dxa"/>
            </w:tcMar>
            <w:shd w:fill="F0F4F8"/>
          </w:tcPr>
          <w:p>
            <w:pPr>
              <w:keepNext/>
              <w:spacing w:before="40" w:after="40" w:line="269" w:lineRule="auto"/>
            </w:pPr>
            <w:r>
              <w:rPr>
                <w:rFonts w:ascii="Calibri" w:hAnsi="Calibri"/>
                <w:b/>
                <w:color w:val="22252A"/>
                <w:sz w:val="20"/>
              </w:rPr>
              <w:t>2. ZetarisRetriever</w:t>
              <w:br/>
              <w:t>(`app/agents/retriever.py`)</w:t>
            </w:r>
          </w:p>
        </w:tc>
        <w:tc>
          <w:tcPr>
            <w:tcW w:type="dxa" w:w="3240"/>
            <w:vAlign w:val="center"/>
            <w:tcMar>
              <w:top w:w="90" w:type="dxa"/>
              <w:bottom w:w="90" w:type="dxa"/>
              <w:left w:w="140" w:type="dxa"/>
              <w:right w:w="140" w:type="dxa"/>
            </w:tcMar>
            <w:shd w:fill="F0F4F8"/>
          </w:tcPr>
          <w:p>
            <w:pPr>
              <w:keepNext/>
              <w:spacing w:before="40" w:after="40" w:line="269" w:lineRule="auto"/>
            </w:pPr>
            <w:r>
              <w:rPr>
                <w:rFonts w:ascii="Calibri" w:hAnsi="Calibri"/>
                <w:color w:val="22252A"/>
                <w:sz w:val="20"/>
              </w:rPr>
              <w:t>Chuyển hóa từng giả thuyết thành câu lệnh SQL an toàn (luôn có `LIMIT` và `timeout=30s`) để lấy bằng chứng từ `TPCDS_DB` và `NY_TAXI` qua `zetaris_adapter.py`.</w:t>
            </w:r>
          </w:p>
        </w:tc>
        <w:tc>
          <w:tcPr>
            <w:tcW w:type="dxa" w:w="3600"/>
            <w:vAlign w:val="center"/>
            <w:tcMar>
              <w:top w:w="90" w:type="dxa"/>
              <w:bottom w:w="90" w:type="dxa"/>
              <w:left w:w="140" w:type="dxa"/>
              <w:right w:w="140" w:type="dxa"/>
            </w:tcMar>
            <w:shd w:fill="F0F4F8"/>
          </w:tcPr>
          <w:p>
            <w:pPr>
              <w:keepNext/>
              <w:spacing w:before="40" w:after="40" w:line="269" w:lineRule="auto"/>
            </w:pPr>
            <w:r>
              <w:rPr>
                <w:rFonts w:ascii="Calibri" w:hAnsi="Calibri"/>
                <w:b/>
                <w:color w:val="1B365D"/>
                <w:sz w:val="20"/>
              </w:rPr>
              <w:t xml:space="preserve">Tự phục hồi lỗi: </w:t>
            </w:r>
            <w:r>
              <w:rPr>
                <w:rFonts w:ascii="Calibri" w:hAnsi="Calibri"/>
                <w:color w:val="22252A"/>
                <w:sz w:val="20"/>
              </w:rPr>
              <w:t>Nếu câu lệnh SQL sai cú pháp hoặc kết nối Zetaris quá hạn 30s (`UpstreamTimeout`), tác tử tự động sửa truy vấn/thử lại 2 lần hoặc chuyển về đọc dữ liệu mẫu cục bộ.</w:t>
            </w:r>
          </w:p>
        </w:tc>
      </w:tr>
      <w:tr>
        <w:trPr>
          <w:cantSplit/>
        </w:trPr>
        <w:tc>
          <w:tcPr>
            <w:tcW w:type="dxa" w:w="2520"/>
            <w:vAlign w:val="center"/>
            <w:tcMar>
              <w:top w:w="90" w:type="dxa"/>
              <w:bottom w:w="90" w:type="dxa"/>
              <w:left w:w="140" w:type="dxa"/>
              <w:right w:w="140" w:type="dxa"/>
            </w:tcMar>
          </w:tcPr>
          <w:p>
            <w:pPr>
              <w:keepNext/>
              <w:spacing w:before="40" w:after="40" w:line="269" w:lineRule="auto"/>
            </w:pPr>
            <w:r>
              <w:rPr>
                <w:rFonts w:ascii="Calibri" w:hAnsi="Calibri"/>
                <w:b/>
                <w:color w:val="22252A"/>
                <w:sz w:val="20"/>
              </w:rPr>
              <w:t>3. SkepticalCritic</w:t>
              <w:br/>
              <w:t>(`app/agents/critic.py`)</w:t>
            </w:r>
          </w:p>
        </w:tc>
        <w:tc>
          <w:tcPr>
            <w:tcW w:type="dxa" w:w="3240"/>
            <w:vAlign w:val="center"/>
            <w:tcMar>
              <w:top w:w="90" w:type="dxa"/>
              <w:bottom w:w="90" w:type="dxa"/>
              <w:left w:w="140" w:type="dxa"/>
              <w:right w:w="140" w:type="dxa"/>
            </w:tcMar>
          </w:tcPr>
          <w:p>
            <w:pPr>
              <w:keepNext/>
              <w:spacing w:before="40" w:after="40" w:line="269" w:lineRule="auto"/>
            </w:pPr>
            <w:r>
              <w:rPr>
                <w:rFonts w:ascii="Calibri" w:hAnsi="Calibri"/>
                <w:color w:val="22252A"/>
                <w:sz w:val="20"/>
              </w:rPr>
              <w:t>Đóng vai trò kiểm toán viên khắt khe: kiểm định xem số liệu thu về có đủ ý nghĩa thống kê để chứng minh giả thuyết hay không và chấm điểm `confidence_score` (0.0–1.0).</w:t>
            </w:r>
          </w:p>
        </w:tc>
        <w:tc>
          <w:tcPr>
            <w:tcW w:type="dxa" w:w="3600"/>
            <w:vAlign w:val="center"/>
            <w:tcMar>
              <w:top w:w="90" w:type="dxa"/>
              <w:bottom w:w="90" w:type="dxa"/>
              <w:left w:w="140" w:type="dxa"/>
              <w:right w:w="140" w:type="dxa"/>
            </w:tcMar>
          </w:tcPr>
          <w:p>
            <w:pPr>
              <w:keepNext/>
              <w:spacing w:before="40" w:after="40" w:line="269" w:lineRule="auto"/>
            </w:pPr>
            <w:r>
              <w:rPr>
                <w:rFonts w:ascii="Calibri" w:hAnsi="Calibri"/>
                <w:b/>
                <w:color w:val="1B365D"/>
                <w:sz w:val="20"/>
              </w:rPr>
              <w:t xml:space="preserve">Chặn kết luận yếu: </w:t>
            </w:r>
            <w:r>
              <w:rPr>
                <w:rFonts w:ascii="Calibri" w:hAnsi="Calibri"/>
                <w:color w:val="22252A"/>
                <w:sz w:val="20"/>
              </w:rPr>
              <w:t>Nếu `confidence_score &lt; 0.70`, Critic phát sự kiện `CLAIM_BLOCKED`, ghi lý do bác bỏ vào H-MEM và ép vòng lặp rẽ nhánh (`BRANCH_RETRY`) sang truy vấn mới.</w:t>
            </w:r>
          </w:p>
        </w:tc>
      </w:tr>
      <w:tr>
        <w:trPr>
          <w:cantSplit/>
        </w:trPr>
        <w:tc>
          <w:tcPr>
            <w:tcW w:type="dxa" w:w="2520"/>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4. ActionReportWriter</w:t>
              <w:br/>
              <w:t>(`app/agents/synthesizer.py`)</w:t>
            </w:r>
          </w:p>
        </w:tc>
        <w:tc>
          <w:tcPr>
            <w:tcW w:type="dxa" w:w="3240"/>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Tổng hợp duy nhất các nguyên nhân đã được Critic phê duyệt (`APPROVED_CLAIM`) để xuất báo cáo giải thích nguyên nhân gốc rễ và hành động khắc phục.</w:t>
            </w:r>
          </w:p>
        </w:tc>
        <w:tc>
          <w:tcPr>
            <w:tcW w:type="dxa" w:w="3600"/>
            <w:vAlign w:val="center"/>
            <w:tcMar>
              <w:top w:w="90" w:type="dxa"/>
              <w:bottom w:w="90" w:type="dxa"/>
              <w:left w:w="140" w:type="dxa"/>
              <w:right w:w="140" w:type="dxa"/>
            </w:tcMar>
            <w:shd w:fill="F0F4F8"/>
          </w:tcPr>
          <w:p>
            <w:pPr>
              <w:spacing w:before="40" w:after="40" w:line="269" w:lineRule="auto"/>
            </w:pPr>
            <w:r>
              <w:rPr>
                <w:rFonts w:ascii="Calibri" w:hAnsi="Calibri"/>
                <w:b/>
                <w:color w:val="1B365D"/>
                <w:sz w:val="20"/>
              </w:rPr>
              <w:t xml:space="preserve">Trích dẫn &amp; Giới hạn: </w:t>
            </w:r>
            <w:r>
              <w:rPr>
                <w:rFonts w:ascii="Calibri" w:hAnsi="Calibri"/>
                <w:color w:val="22252A"/>
                <w:sz w:val="20"/>
              </w:rPr>
              <w:t>Bắt buộc trích dẫn tên bảng, mã truy vấn, số liệu đối chiếu và có mục riêng nêu rõ giới hạn dữ liệu (`Caveats &amp; Data Limitations`).</w:t>
            </w:r>
          </w:p>
        </w:tc>
      </w:tr>
    </w:tbl>
    <w:p>
      <w:pPr>
        <w:spacing w:before="0" w:after="120"/>
      </w:pPr>
    </w:p>
    <w:p>
      <w:pPr>
        <w:keepNext/>
        <w:spacing w:before="320" w:after="100"/>
        <w:pBdr>
          <w:bottom w:val="single" w:sz="8" w:space="3" w:color="008080"/>
        </w:pBdr>
      </w:pPr>
      <w:r>
        <w:rPr>
          <w:rFonts w:ascii="Calibri" w:hAnsi="Calibri"/>
          <w:b/>
          <w:color w:val="1B365D"/>
          <w:sz w:val="32"/>
        </w:rPr>
        <w:t>3. Đặc Tả Tích Hợp Công Nghệ Nhà Tài Trợ &amp; Cấu Trúc Kho Mã Nguồn</w:t>
      </w:r>
    </w:p>
    <w:p>
      <w:pPr>
        <w:spacing w:after="120" w:line="276" w:lineRule="auto"/>
      </w:pPr>
      <w:r>
        <w:t xml:space="preserve">Dựa trên hướng dẫn tích hợp dữ liệu tại bài viết </w:t>
      </w:r>
      <w:hyperlink r:id="rId16">
        <w:r>
          <w:rPr>
            <w:rFonts w:ascii="Calibri" w:hAnsi="Calibri"/>
            <w:color w:val="0066CC"/>
            <w:u w:val="single"/>
            <w:sz w:val="22"/>
            <w:szCs w:val="22"/>
          </w:rPr>
          <w:t>Zetaris Getting Started Guide của CTO Michael Hay</w:t>
        </w:r>
      </w:hyperlink>
      <w:r>
        <w:t xml:space="preserve"> và tài liệu kỹ thuật của nền tảng </w:t>
      </w:r>
      <w:hyperlink r:id="rId17">
        <w:r>
          <w:rPr>
            <w:rFonts w:ascii="Calibri" w:hAnsi="Calibri"/>
            <w:color w:val="0066CC"/>
            <w:u w:val="single"/>
            <w:sz w:val="22"/>
            <w:szCs w:val="22"/>
          </w:rPr>
          <w:t>Meterless Nightshift</w:t>
        </w:r>
      </w:hyperlink>
      <w:r>
        <w:t>, dự án phải triển khai thực chất 4 thành phần công nghệ nhà tài trợ theo đúng quy chuẩn dưới đây:</w:t>
      </w:r>
    </w:p>
    <w:p>
      <w:pPr>
        <w:pStyle w:val="ListBullet"/>
        <w:spacing w:before="30" w:after="70" w:line="276" w:lineRule="auto"/>
        <w:ind w:left="360"/>
      </w:pPr>
      <w:r>
        <w:rPr>
          <w:rFonts w:ascii="Calibri" w:hAnsi="Calibri"/>
          <w:b/>
          <w:color w:val="1B365D"/>
          <w:sz w:val="22"/>
        </w:rPr>
        <w:t xml:space="preserve">Tầng Dữ liệu Zetaris (`app/adapters/zetaris_adapter.py`): </w:t>
      </w:r>
      <w:r>
        <w:rPr>
          <w:rFonts w:ascii="Calibri" w:hAnsi="Calibri"/>
          <w:color w:val="22252A"/>
          <w:sz w:val="22"/>
        </w:rPr>
        <w:t>Kết nối tới môi trường Zetaris AI Data Harness để truy vấn liên nguồn trên hai bộ dữ liệu có sẵn là `TPCDS_DB` và `NY_TAXI`. Để giải quyết triệt để rủi ro mạng yếu hoặc máy cá nhân không đủ RAM chạy Docker nặng, mọi hàm gọi Zetaris đều được bọc `timeout=30` giây và tự động chuyển đổi sang đọc dữ liệu mẫu JSON khi biến môi trường `SAMPLE_MODE=true` được bật.</w:t>
      </w:r>
    </w:p>
    <w:p>
      <w:pPr>
        <w:pStyle w:val="ListBullet"/>
        <w:spacing w:before="30" w:after="70" w:line="276" w:lineRule="auto"/>
        <w:ind w:left="360"/>
      </w:pPr>
      <w:r>
        <w:rPr>
          <w:rFonts w:ascii="Calibri" w:hAnsi="Calibri"/>
          <w:b/>
          <w:color w:val="1B365D"/>
          <w:sz w:val="22"/>
        </w:rPr>
        <w:t xml:space="preserve">Bộ máy Bộ nhớ Phân cấp Meterless H-MEM (`app/memory/hmem_engine.py`): </w:t>
      </w:r>
      <w:r>
        <w:rPr>
          <w:rFonts w:ascii="Calibri" w:hAnsi="Calibri"/>
          <w:color w:val="22252A"/>
          <w:sz w:val="22"/>
        </w:rPr>
        <w:t>Triển khai kiến trúc bộ nhớ 3 tầng gồm Episodic Memory (nhật ký từng câu lệnh SQL và kết quả thô), Semantic Memory (trạng thái các giả thuyết H1, H2, H3 và điểm số từ Critic) và Procedural Memory (danh sách các hướng suy luận đã bị bác bỏ để chống lặp vô hạn). Đi kèm bài kiểm tra hợp chuẩn bắt buộc tại `tests/test_hmem_conformance.py`.</w:t>
      </w:r>
    </w:p>
    <w:p>
      <w:pPr>
        <w:pStyle w:val="ListBullet"/>
        <w:spacing w:before="30" w:after="70" w:line="276" w:lineRule="auto"/>
        <w:ind w:left="360"/>
      </w:pPr>
      <w:r>
        <w:rPr>
          <w:rFonts w:ascii="Calibri" w:hAnsi="Calibri"/>
          <w:b/>
          <w:color w:val="1B365D"/>
          <w:sz w:val="22"/>
        </w:rPr>
        <w:t xml:space="preserve">Cổng suy luận Meterless Nightshift &amp; NVIDIA Nemotron (`app/llm/nightshift_client.py`): </w:t>
      </w:r>
      <w:r>
        <w:rPr>
          <w:rFonts w:ascii="Calibri" w:hAnsi="Calibri"/>
          <w:color w:val="22252A"/>
          <w:sz w:val="22"/>
        </w:rPr>
        <w:t>Sử dụng OpenAI Python SDK trỏ `base_url` về biến môi trường `METERLESS_BASE_URL` và định tuyến các yêu cầu suy luận tới mô hình `nvidia/nemotron-3-super-120b-a12b`. Trong chế độ `SAMPLE_MODE=true` khi giám khảo chấm bài mà không truyền API key, client tự động kích hoạt bộ suy luận mô phỏng định sẵn (deterministic reasoning fallback) để vòng lặp 4 tác tử và bộ nhớ H-MEM vẫn chạy trọn vẹn 100%.</w:t>
      </w:r>
    </w:p>
    <w:p>
      <w:pPr>
        <w:pStyle w:val="ListBullet"/>
        <w:spacing w:before="30" w:after="140" w:line="276" w:lineRule="auto"/>
        <w:ind w:left="360"/>
      </w:pPr>
      <w:r>
        <w:rPr>
          <w:rFonts w:ascii="Calibri" w:hAnsi="Calibri"/>
          <w:b/>
          <w:color w:val="1B365D"/>
          <w:sz w:val="22"/>
        </w:rPr>
        <w:t xml:space="preserve">Khai báo Công cụ Lập trình Cursor (`README.md` &amp; `metadata.json`): </w:t>
      </w:r>
      <w:r>
        <w:rPr>
          <w:rFonts w:ascii="Calibri" w:hAnsi="Calibri"/>
          <w:color w:val="22252A"/>
          <w:sz w:val="22"/>
        </w:rPr>
        <w:t>Ghi nhận chi tiết cách đội Light of Numbers sử dụng Cursor Composer/Agent và thư viện prompt của Meterless để thiết kế kiến trúc vòng lặp phản biện, sinh adapter chống lỗi mạng và viết bộ kiểm thử tự động.</w:t>
      </w:r>
    </w:p>
    <w:p>
      <w:pPr>
        <w:keepNext/>
        <w:spacing w:before="240" w:after="80"/>
      </w:pPr>
      <w:r>
        <w:rPr>
          <w:rFonts w:ascii="Calibri" w:hAnsi="Calibri"/>
          <w:b/>
          <w:color w:val="006666"/>
          <w:sz w:val="26"/>
        </w:rPr>
        <w:t>3.1. Cấu Trúc Thư Mục Mã Nguồn Chuẩn (Standard Repository Layout)</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insideV w:val="single" w:sz="4" w:space="0" w:color="D0D7DE"/>
          <w:left w:val="none"/>
          <w:right w:val="none"/>
        </w:tblBorders>
      </w:tblPr>
      <w:tblGrid>
        <w:gridCol w:w="4680"/>
        <w:gridCol w:w="4680"/>
      </w:tblGrid>
      <w:tr>
        <w:trPr>
          <w:tblHeader/>
          <w:cantSplit/>
        </w:trPr>
        <w:tc>
          <w:tcPr>
            <w:tcW w:type="dxa" w:w="3096"/>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Đường Dẫn Tệp / Thư Mục</w:t>
            </w:r>
          </w:p>
        </w:tc>
        <w:tc>
          <w:tcPr>
            <w:tcW w:type="dxa" w:w="6264"/>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Vai Trò Kỹ Thuật &amp; Tiêu Chuẩn Kiểm Tra Khi Chấm Bài</w:t>
            </w:r>
          </w:p>
        </w:tc>
      </w:tr>
      <w:tr>
        <w:trPr>
          <w:cantSplit/>
        </w:trPr>
        <w:tc>
          <w:tcPr>
            <w:tcW w:type="dxa" w:w="3096"/>
            <w:vAlign w:val="center"/>
            <w:tcMar>
              <w:top w:w="90" w:type="dxa"/>
              <w:bottom w:w="90" w:type="dxa"/>
              <w:left w:w="140" w:type="dxa"/>
              <w:right w:w="140" w:type="dxa"/>
            </w:tcMar>
          </w:tcPr>
          <w:p>
            <w:pPr>
              <w:spacing w:before="40" w:after="40" w:line="269" w:lineRule="auto"/>
            </w:pPr>
            <w:r>
              <w:rPr>
                <w:rFonts w:ascii="Calibri" w:hAnsi="Calibri"/>
                <w:b/>
                <w:color w:val="22252A"/>
                <w:sz w:val="20"/>
              </w:rPr>
              <w:t>`run.py`</w:t>
            </w:r>
          </w:p>
        </w:tc>
        <w:tc>
          <w:tcPr>
            <w:tcW w:type="dxa" w:w="6264"/>
            <w:vAlign w:val="center"/>
            <w:tcMar>
              <w:top w:w="90" w:type="dxa"/>
              <w:bottom w:w="90" w:type="dxa"/>
              <w:left w:w="140" w:type="dxa"/>
              <w:right w:w="140" w:type="dxa"/>
            </w:tcMar>
          </w:tcPr>
          <w:p>
            <w:pPr>
              <w:spacing w:before="40" w:after="40" w:line="269" w:lineRule="auto"/>
            </w:pPr>
            <w:r>
              <w:rPr>
                <w:rFonts w:ascii="Calibri" w:hAnsi="Calibri"/>
                <w:color w:val="22252A"/>
                <w:sz w:val="20"/>
              </w:rPr>
              <w:t>Điểm chạy CLI chính: hỗ trợ cả `--query "..."`, `--input data/samples/scenario_1.json` và `--sample-mode`.</w:t>
            </w:r>
          </w:p>
        </w:tc>
      </w:tr>
      <w:tr>
        <w:trPr>
          <w:cantSplit/>
        </w:trPr>
        <w:tc>
          <w:tcPr>
            <w:tcW w:type="dxa" w:w="3096"/>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`app/main.py`</w:t>
            </w:r>
          </w:p>
        </w:tc>
        <w:tc>
          <w:tcPr>
            <w:tcW w:type="dxa" w:w="6264"/>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Máy chủ FastAPI cung cấp endpoint `POST /run`, `GET /health` và giao diện Web UI một trang hiển thị trực quan cuộc tranh luận giữa các tác tử.</w:t>
            </w:r>
          </w:p>
        </w:tc>
      </w:tr>
      <w:tr>
        <w:trPr>
          <w:cantSplit/>
        </w:trPr>
        <w:tc>
          <w:tcPr>
            <w:tcW w:type="dxa" w:w="3096"/>
            <w:vAlign w:val="center"/>
            <w:tcMar>
              <w:top w:w="90" w:type="dxa"/>
              <w:bottom w:w="90" w:type="dxa"/>
              <w:left w:w="140" w:type="dxa"/>
              <w:right w:w="140" w:type="dxa"/>
            </w:tcMar>
          </w:tcPr>
          <w:p>
            <w:pPr>
              <w:spacing w:before="40" w:after="40" w:line="269" w:lineRule="auto"/>
            </w:pPr>
            <w:r>
              <w:rPr>
                <w:rFonts w:ascii="Calibri" w:hAnsi="Calibri"/>
                <w:b/>
                <w:color w:val="22252A"/>
                <w:sz w:val="20"/>
              </w:rPr>
              <w:t>`app/adapters/zetaris_adapter.py`</w:t>
            </w:r>
          </w:p>
        </w:tc>
        <w:tc>
          <w:tcPr>
            <w:tcW w:type="dxa" w:w="6264"/>
            <w:vAlign w:val="center"/>
            <w:tcMar>
              <w:top w:w="90" w:type="dxa"/>
              <w:bottom w:w="90" w:type="dxa"/>
              <w:left w:w="140" w:type="dxa"/>
              <w:right w:w="140" w:type="dxa"/>
            </w:tcMar>
          </w:tcPr>
          <w:p>
            <w:pPr>
              <w:spacing w:before="40" w:after="40" w:line="269" w:lineRule="auto"/>
            </w:pPr>
            <w:r>
              <w:rPr>
                <w:rFonts w:ascii="Calibri" w:hAnsi="Calibri"/>
                <w:color w:val="22252A"/>
                <w:sz w:val="20"/>
              </w:rPr>
              <w:t>Adapter thực thi truy vấn SQL qua Zetaris với `timeout=30s`, cơ chế `retry` 2 lần và fallback về `data/samples/`.</w:t>
            </w:r>
          </w:p>
        </w:tc>
      </w:tr>
      <w:tr>
        <w:trPr>
          <w:cantSplit/>
        </w:trPr>
        <w:tc>
          <w:tcPr>
            <w:tcW w:type="dxa" w:w="3096"/>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`app/memory/hmem_engine.py`</w:t>
            </w:r>
          </w:p>
        </w:tc>
        <w:tc>
          <w:tcPr>
            <w:tcW w:type="dxa" w:w="6264"/>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Cài đặt bộ máy bộ nhớ phân cấp Meterless `H-MEM` quản lý trạng thái điều tra xuyên suốt các vòng lặp.</w:t>
            </w:r>
          </w:p>
        </w:tc>
      </w:tr>
      <w:tr>
        <w:trPr>
          <w:cantSplit/>
        </w:trPr>
        <w:tc>
          <w:tcPr>
            <w:tcW w:type="dxa" w:w="3096"/>
            <w:vAlign w:val="center"/>
            <w:tcMar>
              <w:top w:w="90" w:type="dxa"/>
              <w:bottom w:w="90" w:type="dxa"/>
              <w:left w:w="140" w:type="dxa"/>
              <w:right w:w="140" w:type="dxa"/>
            </w:tcMar>
          </w:tcPr>
          <w:p>
            <w:pPr>
              <w:spacing w:before="40" w:after="40" w:line="269" w:lineRule="auto"/>
            </w:pPr>
            <w:r>
              <w:rPr>
                <w:rFonts w:ascii="Calibri" w:hAnsi="Calibri"/>
                <w:b/>
                <w:color w:val="22252A"/>
                <w:sz w:val="20"/>
              </w:rPr>
              <w:t>`app/llm/nightshift_client.py`</w:t>
            </w:r>
          </w:p>
        </w:tc>
        <w:tc>
          <w:tcPr>
            <w:tcW w:type="dxa" w:w="6264"/>
            <w:vAlign w:val="center"/>
            <w:tcMar>
              <w:top w:w="90" w:type="dxa"/>
              <w:bottom w:w="90" w:type="dxa"/>
              <w:left w:w="140" w:type="dxa"/>
              <w:right w:w="140" w:type="dxa"/>
            </w:tcMar>
          </w:tcPr>
          <w:p>
            <w:pPr>
              <w:spacing w:before="40" w:after="40" w:line="269" w:lineRule="auto"/>
            </w:pPr>
            <w:r>
              <w:rPr>
                <w:rFonts w:ascii="Calibri" w:hAnsi="Calibri"/>
                <w:color w:val="22252A"/>
                <w:sz w:val="20"/>
              </w:rPr>
              <w:t>Client kết nối `METERLESS_BASE_URL` gọi mô hình `nvidia/nemotron-3-super-120b-a12b` và ghi nhận tên model vào log.</w:t>
            </w:r>
          </w:p>
        </w:tc>
      </w:tr>
      <w:tr>
        <w:trPr>
          <w:cantSplit/>
        </w:trPr>
        <w:tc>
          <w:tcPr>
            <w:tcW w:type="dxa" w:w="3096"/>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`app/agents/`</w:t>
            </w:r>
          </w:p>
        </w:tc>
        <w:tc>
          <w:tcPr>
            <w:tcW w:type="dxa" w:w="6264"/>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Chứa 4 tác tử (`planner.py`, `retriever.py`, `critic.py`, `synthesizer.py`) và bộ điều phối vòng lặp `orchestrator.py`.</w:t>
            </w:r>
          </w:p>
        </w:tc>
      </w:tr>
      <w:tr>
        <w:trPr>
          <w:cantSplit/>
        </w:trPr>
        <w:tc>
          <w:tcPr>
            <w:tcW w:type="dxa" w:w="3096"/>
            <w:vAlign w:val="center"/>
            <w:tcMar>
              <w:top w:w="90" w:type="dxa"/>
              <w:bottom w:w="90" w:type="dxa"/>
              <w:left w:w="140" w:type="dxa"/>
              <w:right w:w="140" w:type="dxa"/>
            </w:tcMar>
          </w:tcPr>
          <w:p>
            <w:pPr>
              <w:spacing w:before="40" w:after="40" w:line="269" w:lineRule="auto"/>
            </w:pPr>
            <w:r>
              <w:rPr>
                <w:rFonts w:ascii="Calibri" w:hAnsi="Calibri"/>
                <w:b/>
                <w:color w:val="22252A"/>
                <w:sz w:val="20"/>
              </w:rPr>
              <w:t>`data/samples/`</w:t>
            </w:r>
          </w:p>
        </w:tc>
        <w:tc>
          <w:tcPr>
            <w:tcW w:type="dxa" w:w="6264"/>
            <w:vAlign w:val="center"/>
            <w:tcMar>
              <w:top w:w="90" w:type="dxa"/>
              <w:bottom w:w="90" w:type="dxa"/>
              <w:left w:w="140" w:type="dxa"/>
              <w:right w:w="140" w:type="dxa"/>
            </w:tcMar>
          </w:tcPr>
          <w:p>
            <w:pPr>
              <w:spacing w:before="40" w:after="40" w:line="269" w:lineRule="auto"/>
            </w:pPr>
            <w:r>
              <w:rPr>
                <w:rFonts w:ascii="Calibri" w:hAnsi="Calibri"/>
                <w:color w:val="22252A"/>
                <w:sz w:val="20"/>
              </w:rPr>
              <w:t>Chứa tối thiểu 3 kịch bản dữ liệu mẫu (`scenario_1_electronics_q3.json`, `scenario_2_apparel_returns.json`, `scenario_3_shipping_delay.json`).</w:t>
            </w:r>
          </w:p>
        </w:tc>
      </w:tr>
      <w:tr>
        <w:trPr>
          <w:cantSplit/>
        </w:trPr>
        <w:tc>
          <w:tcPr>
            <w:tcW w:type="dxa" w:w="3096"/>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`logs/trace.jsonl`</w:t>
            </w:r>
          </w:p>
        </w:tc>
        <w:tc>
          <w:tcPr>
            <w:tcW w:type="dxa" w:w="6264"/>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Tệp nhật ký truy vết chuẩn JSON Lines lưu toàn bộ lịch sử lập kế hoạch, truy vấn SQL, sự kiện `CLAIM_BLOCKED` và rẽ nhánh.</w:t>
            </w:r>
          </w:p>
        </w:tc>
      </w:tr>
      <w:tr>
        <w:trPr>
          <w:cantSplit/>
        </w:trPr>
        <w:tc>
          <w:tcPr>
            <w:tcW w:type="dxa" w:w="3096"/>
            <w:vAlign w:val="center"/>
            <w:tcMar>
              <w:top w:w="90" w:type="dxa"/>
              <w:bottom w:w="90" w:type="dxa"/>
              <w:left w:w="140" w:type="dxa"/>
              <w:right w:w="140" w:type="dxa"/>
            </w:tcMar>
          </w:tcPr>
          <w:p>
            <w:pPr>
              <w:spacing w:before="40" w:after="40" w:line="269" w:lineRule="auto"/>
            </w:pPr>
            <w:r>
              <w:rPr>
                <w:rFonts w:ascii="Calibri" w:hAnsi="Calibri"/>
                <w:b/>
                <w:color w:val="22252A"/>
                <w:sz w:val="20"/>
              </w:rPr>
              <w:t>`tests/test_hmem_conformance.py`</w:t>
            </w:r>
          </w:p>
        </w:tc>
        <w:tc>
          <w:tcPr>
            <w:tcW w:type="dxa" w:w="6264"/>
            <w:vAlign w:val="center"/>
            <w:tcMar>
              <w:top w:w="90" w:type="dxa"/>
              <w:bottom w:w="90" w:type="dxa"/>
              <w:left w:w="140" w:type="dxa"/>
              <w:right w:w="140" w:type="dxa"/>
            </w:tcMar>
          </w:tcPr>
          <w:p>
            <w:pPr>
              <w:spacing w:before="40" w:after="40" w:line="269" w:lineRule="auto"/>
            </w:pPr>
            <w:r>
              <w:rPr>
                <w:rFonts w:ascii="Calibri" w:hAnsi="Calibri"/>
                <w:color w:val="22252A"/>
                <w:sz w:val="20"/>
              </w:rPr>
              <w:t>Bộ kiểm thử Pytest xác nhận tính hợp chuẩn của `H-MEM`, cơ chế bác bỏ giả thuyết yếu và luồng chạy `SAMPLE_MODE=true`.</w:t>
            </w:r>
          </w:p>
        </w:tc>
      </w:tr>
      <w:tr>
        <w:trPr>
          <w:cantSplit/>
        </w:trPr>
        <w:tc>
          <w:tcPr>
            <w:tcW w:type="dxa" w:w="3096"/>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`.env.example` &amp; `.gitignore`</w:t>
            </w:r>
          </w:p>
        </w:tc>
        <w:tc>
          <w:tcPr>
            <w:tcW w:type="dxa" w:w="6264"/>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Mẫu cấu hình biến môi trường không chứa khóa thật; `.gitignore` chặn tuyệt đối tệp `.env` để không vi phạm quy tắc bảo mật.</w:t>
            </w:r>
          </w:p>
        </w:tc>
      </w:tr>
      <w:tr>
        <w:trPr>
          <w:cantSplit/>
        </w:trPr>
        <w:tc>
          <w:tcPr>
            <w:tcW w:type="dxa" w:w="3096"/>
            <w:vAlign w:val="center"/>
            <w:tcMar>
              <w:top w:w="90" w:type="dxa"/>
              <w:bottom w:w="90" w:type="dxa"/>
              <w:left w:w="140" w:type="dxa"/>
              <w:right w:w="140" w:type="dxa"/>
            </w:tcMar>
          </w:tcPr>
          <w:p>
            <w:pPr>
              <w:spacing w:before="40" w:after="40" w:line="269" w:lineRule="auto"/>
            </w:pPr>
            <w:r>
              <w:rPr>
                <w:rFonts w:ascii="Calibri" w:hAnsi="Calibri"/>
                <w:b/>
                <w:color w:val="22252A"/>
                <w:sz w:val="20"/>
              </w:rPr>
              <w:t>`metadata.json` &amp; `README.md`</w:t>
            </w:r>
          </w:p>
        </w:tc>
        <w:tc>
          <w:tcPr>
            <w:tcW w:type="dxa" w:w="6264"/>
            <w:vAlign w:val="center"/>
            <w:tcMar>
              <w:top w:w="90" w:type="dxa"/>
              <w:bottom w:w="90" w:type="dxa"/>
              <w:left w:w="140" w:type="dxa"/>
              <w:right w:w="140" w:type="dxa"/>
            </w:tcMar>
          </w:tcPr>
          <w:p>
            <w:pPr>
              <w:spacing w:before="40" w:after="40" w:line="269" w:lineRule="auto"/>
            </w:pPr>
            <w:r>
              <w:rPr>
                <w:rFonts w:ascii="Calibri" w:hAnsi="Calibri"/>
                <w:color w:val="22252A"/>
                <w:sz w:val="20"/>
              </w:rPr>
              <w:t>Khai báo thông tin đội Light of Numbers, cách tích hợp 4 công nghệ nhà tài trợ và hướng dẫn chạy thử bằng 1 câu lệnh.</w:t>
            </w:r>
          </w:p>
        </w:tc>
      </w:tr>
    </w:tbl>
    <w:p>
      <w:pPr>
        <w:spacing w:before="0" w:after="120"/>
      </w:pPr>
    </w:p>
    <w:p>
      <w:pPr>
        <w:keepNext/>
        <w:spacing w:before="320" w:after="100"/>
        <w:pBdr>
          <w:bottom w:val="single" w:sz="8" w:space="3" w:color="008080"/>
        </w:pBdr>
      </w:pPr>
      <w:r>
        <w:rPr>
          <w:rFonts w:ascii="Calibri" w:hAnsi="Calibri"/>
          <w:b/>
          <w:color w:val="1B365D"/>
          <w:sz w:val="32"/>
        </w:rPr>
        <w:t>4. Quy Chuẩn Kỹ Thuật “Sống Còn”, Kịch Bản Dữ Liệu Mẫu &amp; Chuẩn Log JSONL</w:t>
      </w:r>
    </w:p>
    <w:p>
      <w:pPr>
        <w:keepNext/>
        <w:spacing w:before="240" w:after="80"/>
      </w:pPr>
      <w:r>
        <w:rPr>
          <w:rFonts w:ascii="Calibri" w:hAnsi="Calibri"/>
          <w:b/>
          <w:color w:val="006666"/>
          <w:sz w:val="26"/>
        </w:rPr>
        <w:t>4.1. Ba Kịch Bản Dữ Liệu Mẫu Bắt Buộc Trong `data/samples/`</w:t>
      </w:r>
    </w:p>
    <w:p>
      <w:pPr>
        <w:pStyle w:val="ListBullet"/>
        <w:spacing w:before="30" w:after="70" w:line="276" w:lineRule="auto"/>
        <w:ind w:left="360"/>
      </w:pPr>
      <w:r>
        <w:rPr>
          <w:rFonts w:ascii="Calibri" w:hAnsi="Calibri"/>
          <w:b/>
          <w:color w:val="1B365D"/>
          <w:sz w:val="22"/>
        </w:rPr>
        <w:t xml:space="preserve">Kịch bản 1 (`scenario_1_electronics_q3.json` — Kịch bản Demo chính): </w:t>
      </w:r>
      <w:r>
        <w:rPr>
          <w:rFonts w:ascii="Calibri" w:hAnsi="Calibri"/>
          <w:color w:val="22252A"/>
          <w:sz w:val="22"/>
        </w:rPr>
        <w:t>Điều tra câu hỏi 'Tại sao biên lợi nhuận ròng ngành Điện tử giảm 18.5% trong Quý 3?'. Ở vòng lặp 1, `HypothesisPlanner` nghi ngờ tỷ lệ hoàn trả hàng do lỗi sản phẩm (H1), nhưng số liệu từ `TPCDS_DB.web_returns` cho thấy tỷ lệ trả hàng toàn quốc chỉ tăng 1.2%. `SkepticalCritic` chấm `confidence_score = 0.42`, phát lệnh `CLAIM_BLOCKED` và ép rẽ nhánh. Ở vòng lặp 2, hệ thống kết hợp `TPCDS_DB.inventory`, `TPCDS_DB.web_sales` và `NY_TAXI`, chứng minh nguyên nhân gốc rễ là tình trạng thiếu hụt linh kiện tại kho Đông Bắc kết hợp thời gian giao vận nội đô tăng 34% (`NY_TAXI`), khiến khách hàng hủy đơn giá trị cao và phát sinh chi phí vận chuyển gấp (`confidence_score = 0.91` -&gt; `APPROVED_CLAIM`).</w:t>
      </w:r>
    </w:p>
    <w:p>
      <w:pPr>
        <w:pStyle w:val="ListBullet"/>
        <w:spacing w:before="30" w:after="70" w:line="276" w:lineRule="auto"/>
        <w:ind w:left="360"/>
      </w:pPr>
      <w:r>
        <w:rPr>
          <w:rFonts w:ascii="Calibri" w:hAnsi="Calibri"/>
          <w:b/>
          <w:color w:val="1B365D"/>
          <w:sz w:val="22"/>
        </w:rPr>
        <w:t xml:space="preserve">Kịch bản 2 (`scenario_2_apparel_returns.json`): </w:t>
      </w:r>
      <w:r>
        <w:rPr>
          <w:rFonts w:ascii="Calibri" w:hAnsi="Calibri"/>
          <w:color w:val="22252A"/>
          <w:sz w:val="22"/>
        </w:rPr>
        <w:t>Điều tra sụt giảm 14.2% doanh thu thuần ngành Thời trang Thu – Đông. Bác bỏ giả thuyết giảm nhu cầu thị trường; chứng minh nguyên nhân do lỗi bảng quy đổi kích cỡ tại một nhà cung cấp mới trên kênh `catalog_returns`.</w:t>
      </w:r>
    </w:p>
    <w:p>
      <w:pPr>
        <w:pStyle w:val="ListBullet"/>
        <w:spacing w:before="30" w:after="140" w:line="276" w:lineRule="auto"/>
        <w:ind w:left="360"/>
      </w:pPr>
      <w:r>
        <w:rPr>
          <w:rFonts w:ascii="Calibri" w:hAnsi="Calibri"/>
          <w:b/>
          <w:color w:val="1B365D"/>
          <w:sz w:val="22"/>
        </w:rPr>
        <w:t xml:space="preserve">Kịch bản 3 (`scenario_3_shipping_delay.json`): </w:t>
      </w:r>
      <w:r>
        <w:rPr>
          <w:rFonts w:ascii="Calibri" w:hAnsi="Calibri"/>
          <w:color w:val="22252A"/>
          <w:sz w:val="22"/>
        </w:rPr>
        <w:t>Điều tra chi phí logistics vượt dự toán 22% tại cụm cửa hàng ngoại ô. Kết nối lịch sử điều chuyển kho `TPCDS_DB.inventory` và dữ liệu cước phí theo khung giờ `NY_TAXI` để chỉ ra lỗi chia nhỏ đơn hàng (split-shipment) vào giờ cao điểm.</w:t>
      </w:r>
    </w:p>
    <w:p>
      <w:pPr>
        <w:keepNext/>
        <w:spacing w:before="240" w:after="80"/>
      </w:pPr>
      <w:r>
        <w:rPr>
          <w:rFonts w:ascii="Calibri" w:hAnsi="Calibri"/>
          <w:b/>
          <w:color w:val="006666"/>
          <w:sz w:val="26"/>
        </w:rPr>
        <w:t>4.2. Cấu Trúc Chuẩn Của Tệp Nhật Ký Truy Vết (`logs/trace.jsonl`)</w:t>
      </w:r>
    </w:p>
    <w:tbl>
      <w:tblPr>
        <w:tblW w:type="auto" w:w="0"/>
        <w:jc w:val="center"/>
        <w:tblLook w:firstColumn="1" w:firstRow="1" w:lastColumn="0" w:lastRow="0" w:noHBand="0" w:noVBand="1" w:val="04A0"/>
      </w:tblPr>
      <w:tblGrid>
        <w:gridCol w:w="9360"/>
      </w:tblGrid>
      <w:tr>
        <w:trPr>
          <w:cantSplit/>
        </w:trPr>
        <w:tc>
          <w:tcPr>
            <w:tcW w:type="dxa" w:w="9360"/>
            <w:shd w:fill="F4F6F9"/>
            <w:tcBorders>
              <w:left w:val="single" w:sz="24" w:space="0" w:color="1B365D"/>
              <w:top w:val="single" w:sz="4" w:space="0" w:color="D0D7DE"/>
              <w:right w:val="single" w:sz="4" w:space="0" w:color="D0D7DE"/>
              <w:bottom w:val="single" w:sz="4" w:space="0" w:color="D0D7DE"/>
            </w:tcBorders>
            <w:tcMar>
              <w:top w:w="120" w:type="dxa"/>
              <w:bottom w:w="120" w:type="dxa"/>
              <w:left w:w="180" w:type="dxa"/>
              <w:right w:w="180" w:type="dxa"/>
            </w:tcMar>
          </w:tcPr>
          <w:p>
            <w:pPr>
              <w:spacing w:before="40" w:after="80"/>
            </w:pPr>
            <w:r>
              <w:rPr>
                <w:rFonts w:ascii="Calibri" w:hAnsi="Calibri"/>
                <w:b/>
                <w:color w:val="1B365D"/>
                <w:sz w:val="22"/>
              </w:rPr>
              <w:t>MẪU ĐỊNH DẠNG LOG TRUY VẾT CHUẨN JSONL (IN ĐỒNG THỜI RA STDOUT &amp; LOGS/TRACE.JSONL)</w:t>
            </w:r>
          </w:p>
          <w:p>
            <w:pPr>
              <w:spacing w:before="20" w:after="60" w:line="269" w:lineRule="auto"/>
            </w:pPr>
            <w:r>
              <w:rPr>
                <w:rFonts w:ascii="Consolas" w:hAnsi="Consolas"/>
                <w:color w:val="1E2229"/>
                <w:sz w:val="20"/>
              </w:rPr>
              <w:t>{"timestamp": "2026-10-23T09:15:02Z", "turn_id": 1, "agent": "HypothesisPlanner", "model": "nvidia/nemotron-3-super-120b-a12b", "event": "PLAN_GENERATED", "hypothesis_id": "H1", "reasoning": "Kiểm tra giả thuyết tỷ lệ hoàn trả hàng ngành Điện tử tăng đột biến trong Quý 3.", "status": "DELEGATED"}</w:t>
            </w:r>
          </w:p>
          <w:p>
            <w:pPr>
              <w:spacing w:before="20" w:after="60" w:line="269" w:lineRule="auto"/>
            </w:pPr>
            <w:r>
              <w:rPr>
                <w:rFonts w:ascii="Consolas" w:hAnsi="Consolas"/>
                <w:color w:val="1E2229"/>
                <w:sz w:val="20"/>
              </w:rPr>
              <w:t>{"timestamp": "2026-10-23T09:15:05Z", "turn_id": 1, "agent": "ZetarisRetriever", "model": "zetaris-sql-adapter", "event": "ZETARIS_QUERY_EXECUTED", "hypothesis_id": "H1", "sql_query": "SELECT ca_state, COUNT(*) AS return_cnt, SUM(wr_return_amt) FROM tpcds.web_returns JOIN tpcds.customer_address ON wr_returning_addr_sk = ca_address_sk GROUP BY ca_state LIMIT 50;", "data_source": "Zetaris_TPCDS_DB", "status": "SUCCESS"}</w:t>
            </w:r>
          </w:p>
          <w:p>
            <w:pPr>
              <w:spacing w:before="20" w:after="60" w:line="269" w:lineRule="auto"/>
            </w:pPr>
            <w:r>
              <w:rPr>
                <w:rFonts w:ascii="Consolas" w:hAnsi="Consolas"/>
                <w:color w:val="1E2229"/>
                <w:sz w:val="20"/>
              </w:rPr>
              <w:t>{"timestamp": "2026-10-23T09:15:09Z", "turn_id": 1, "agent": "SkepticalCritic", "model": "nvidia/nemotron-3-super-120b-a12b", "event": "CLAIM_BLOCKED", "hypothesis_id": "H1", "confidence_score": 0.42, "reasoning": "Tỷ lệ trả hàng toàn quốc chỉ tăng 1.2%, không đủ giải thích mức sụt giảm 18.5% biên lợi nhuận ròng. Yêu cầu rẽ nhánh kiểm tra đứt gãy tồn kho và thời gian giao vận NY_TAXI.", "status": "BRANCH_RETRY"}</w:t>
            </w:r>
          </w:p>
          <w:p>
            <w:pPr>
              <w:spacing w:before="20" w:after="40" w:line="269" w:lineRule="auto"/>
            </w:pPr>
            <w:r>
              <w:rPr>
                <w:rFonts w:ascii="Consolas" w:hAnsi="Consolas"/>
                <w:color w:val="1E2229"/>
                <w:sz w:val="20"/>
              </w:rPr>
              <w:t>{"timestamp": "2026-10-23T09:15:14Z", "turn_id": 2, "agent": "SkepticalCritic", "model": "nvidia/nemotron-3-super-120b-a12b", "event": "APPROVED_CLAIM", "hypothesis_id": "H2_H3_COMBINED", "confidence_score": 0.91, "reasoning": "Bằng chứng liên nguồn từ TPCDS_DB.inventory và NY_TAXI xác nhận đứt gãy tồn kho vùng Đông Bắc và chi phí giao gấp tăng 34%.", "status": "VERIFIED"}</w:t>
            </w:r>
          </w:p>
        </w:tc>
      </w:tr>
    </w:tbl>
    <w:p>
      <w:pPr>
        <w:spacing w:before="0" w:after="120"/>
      </w:pPr>
    </w:p>
    <w:p>
      <w:pPr>
        <w:keepNext/>
        <w:spacing w:before="320" w:after="100"/>
        <w:pBdr>
          <w:bottom w:val="single" w:sz="8" w:space="3" w:color="008080"/>
        </w:pBdr>
      </w:pPr>
      <w:r>
        <w:rPr>
          <w:rFonts w:ascii="Calibri" w:hAnsi="Calibri"/>
          <w:b/>
          <w:color w:val="1B365D"/>
          <w:sz w:val="32"/>
        </w:rPr>
        <w:t>5. Master Prompt Hoàn Chỉnh (Sao Chép Trực Tiếp Vào Cursor Composer / Agent)</w:t>
      </w:r>
    </w:p>
    <w:p>
      <w:pPr>
        <w:spacing w:after="120" w:line="276" w:lineRule="auto"/>
      </w:pPr>
      <w:r>
        <w:t>Đội Light of Numbers có thể đính kèm trực tiếp tệp Word này vào ngữ cảnh của Cursor (`@MarginWhy_Open_Agent_Hackathon_2026_Context_Blueprint.docx`) hoặc sao chép nguyên văn khối Master Prompt đã được chuẩn hóa dưới đây dán vào cửa sổ Cursor Composer/Agent để tự động sinh toàn bộ mã nguồn dự án:</w:t>
      </w:r>
    </w:p>
    <w:tbl>
      <w:tblPr>
        <w:tblW w:type="auto" w:w="0"/>
        <w:jc w:val="center"/>
        <w:tblLook w:firstColumn="1" w:firstRow="1" w:lastColumn="0" w:lastRow="0" w:noHBand="0" w:noVBand="1" w:val="04A0"/>
      </w:tblPr>
      <w:tblGrid>
        <w:gridCol w:w="9360"/>
      </w:tblGrid>
      <w:tr>
        <w:trPr>
          <w:cantSplit/>
        </w:trPr>
        <w:tc>
          <w:tcPr>
            <w:tcW w:type="dxa" w:w="9360"/>
            <w:shd w:fill="EBF5F5"/>
            <w:tcBorders>
              <w:left w:val="single" w:sz="24" w:space="0" w:color="008080"/>
              <w:top w:val="single" w:sz="4" w:space="0" w:color="D0D7DE"/>
              <w:right w:val="single" w:sz="4" w:space="0" w:color="D0D7DE"/>
              <w:bottom w:val="single" w:sz="4" w:space="0" w:color="D0D7DE"/>
            </w:tcBorders>
            <w:tcMar>
              <w:top w:w="120" w:type="dxa"/>
              <w:bottom w:w="120" w:type="dxa"/>
              <w:left w:w="180" w:type="dxa"/>
              <w:right w:w="180" w:type="dxa"/>
            </w:tcMar>
          </w:tcPr>
          <w:p>
            <w:pPr>
              <w:spacing w:before="40" w:after="80"/>
            </w:pPr>
            <w:r>
              <w:rPr>
                <w:rFonts w:ascii="Calibri" w:hAnsi="Calibri"/>
                <w:b/>
                <w:color w:val="1B365D"/>
                <w:sz w:val="22"/>
              </w:rPr>
              <w:t>UNIFIED MASTER PROMPT FOR CURSOR AGENT / COMPOSER (COPY &amp; PASTE)</w:t>
            </w:r>
          </w:p>
          <w:p>
            <w:pPr>
              <w:spacing w:before="20" w:after="60" w:line="269" w:lineRule="auto"/>
            </w:pPr>
            <w:r>
              <w:rPr>
                <w:rFonts w:ascii="Consolas" w:hAnsi="Consolas"/>
                <w:color w:val="1E2229"/>
                <w:sz w:val="20"/>
              </w:rPr>
              <w:t>You are an expert AI Systems Architect building "MarginWhy" for team "Light of Numbers" in the Open Agent Hackathon 2026 (Primary Track: Track 2 - "The Agent That Can Explain Why", targeting the NVIDIA Nemotron Prize and Cursor Developer Award).</w:t>
            </w:r>
          </w:p>
          <w:p>
            <w:pPr>
              <w:spacing w:before="20" w:after="60" w:line="269" w:lineRule="auto"/>
            </w:pPr>
            <w:r>
              <w:rPr>
                <w:rFonts w:ascii="Consolas" w:hAnsi="Consolas"/>
                <w:color w:val="1E2229"/>
                <w:sz w:val="20"/>
              </w:rPr>
            </w:r>
          </w:p>
          <w:p>
            <w:pPr>
              <w:spacing w:before="20" w:after="60" w:line="269" w:lineRule="auto"/>
            </w:pPr>
            <w:r>
              <w:rPr>
                <w:rFonts w:ascii="Consolas" w:hAnsi="Consolas"/>
                <w:color w:val="1E2229"/>
                <w:sz w:val="20"/>
              </w:rPr>
              <w:t>1. GOAL &amp; TARGET USER:</w:t>
            </w:r>
          </w:p>
          <w:p>
            <w:pPr>
              <w:spacing w:before="20" w:after="60" w:line="269" w:lineRule="auto"/>
            </w:pPr>
            <w:r>
              <w:rPr>
                <w:rFonts w:ascii="Consolas" w:hAnsi="Consolas"/>
                <w:color w:val="1E2229"/>
                <w:sz w:val="20"/>
              </w:rPr>
              <w:t>Build a production-oriented, non-linear multi-agent system for Retail Operations &amp; Merchandising Leads that investigates complex profit-drop &amp; supply-chain root-cause questions (e.g., "Why did net profit margin for Electronics drop 18.5% in Q3?") across fragmented data sources (Zetaris TPCDS_DB and NY_TAXI), cross-examines conflicting hypotheses, and outputs an evidence-backed root-cause report with actionable recommendations and explicit caveats.</w:t>
            </w:r>
          </w:p>
          <w:p>
            <w:pPr>
              <w:spacing w:before="20" w:after="60" w:line="269" w:lineRule="auto"/>
            </w:pPr>
            <w:r>
              <w:rPr>
                <w:rFonts w:ascii="Consolas" w:hAnsi="Consolas"/>
                <w:color w:val="1E2229"/>
                <w:sz w:val="20"/>
              </w:rPr>
            </w:r>
          </w:p>
          <w:p>
            <w:pPr>
              <w:spacing w:before="20" w:after="60" w:line="269" w:lineRule="auto"/>
            </w:pPr>
            <w:r>
              <w:rPr>
                <w:rFonts w:ascii="Consolas" w:hAnsi="Consolas"/>
                <w:color w:val="1E2229"/>
                <w:sz w:val="20"/>
              </w:rPr>
              <w:t>2. NON-LINEAR MULTI-AGENT ARCHITECTURE (ITERATIVE LOOP):</w:t>
            </w:r>
          </w:p>
          <w:p>
            <w:pPr>
              <w:spacing w:before="20" w:after="60" w:line="269" w:lineRule="auto"/>
            </w:pPr>
            <w:r>
              <w:rPr>
                <w:rFonts w:ascii="Consolas" w:hAnsi="Consolas"/>
                <w:color w:val="1E2229"/>
                <w:sz w:val="20"/>
              </w:rPr>
              <w:t>- HypothesisPlanner (`app/agents/planner.py`): Reads prior investigation state from Meterless H-MEM (`app/memory/hmem_engine.py`) so it never repeats rejected hypotheses; decomposes the question into testable hypotheses (H1, H2, H3) and dynamically delegates SQL retrieval.</w:t>
            </w:r>
          </w:p>
          <w:p>
            <w:pPr>
              <w:spacing w:before="20" w:after="60" w:line="269" w:lineRule="auto"/>
            </w:pPr>
            <w:r>
              <w:rPr>
                <w:rFonts w:ascii="Consolas" w:hAnsi="Consolas"/>
                <w:color w:val="1E2229"/>
                <w:sz w:val="20"/>
              </w:rPr>
              <w:t>- ZetarisRetriever (`app/agents/retriever.py`): Executes safe SQL queries (`LIMIT`, strict `timeout=30` seconds, up to 2 retries) via `app/adapters/zetaris_adapter.py` against `TPCDS_DB` and `NY_TAXI`. Automatically falls back to local JSON samples (`data/samples/`) on `UpstreamTimeout` or when `SAMPLE_MODE=true`.</w:t>
            </w:r>
          </w:p>
          <w:p>
            <w:pPr>
              <w:spacing w:before="20" w:after="60" w:line="269" w:lineRule="auto"/>
            </w:pPr>
            <w:r>
              <w:rPr>
                <w:rFonts w:ascii="Consolas" w:hAnsi="Consolas"/>
                <w:color w:val="1E2229"/>
                <w:sz w:val="20"/>
              </w:rPr>
              <w:t>- SkepticalCritic (`app/agents/critic.py`): Evaluates statistical sufficiency and assigns a `confidence_score` (0.0 to 1.0). CRITICAL: Must reject weak claims (`confidence_score &lt; 0.70`) with event `CLAIM_BLOCKED`, record the critique in H-MEM, and force the orchestrator (`app/agents/orchestrator.py`) to branch (`BRANCH_RETRY`) into a secondary investigation path.</w:t>
            </w:r>
          </w:p>
          <w:p>
            <w:pPr>
              <w:spacing w:before="20" w:after="60" w:line="269" w:lineRule="auto"/>
            </w:pPr>
            <w:r>
              <w:rPr>
                <w:rFonts w:ascii="Consolas" w:hAnsi="Consolas"/>
                <w:color w:val="1E2229"/>
                <w:sz w:val="20"/>
              </w:rPr>
              <w:t>- ActionReportWriter (`app/agents/synthesizer.py`): Synthesizes only critic-approved claims (`APPROVED_CLAIM`) into a structured report explaining "Why", citing exact table names and metrics, recommending concrete actions, and listing "Caveats &amp; Data Limitations".</w:t>
            </w:r>
          </w:p>
          <w:p>
            <w:pPr>
              <w:spacing w:before="20" w:after="60" w:line="269" w:lineRule="auto"/>
            </w:pPr>
            <w:r>
              <w:rPr>
                <w:rFonts w:ascii="Consolas" w:hAnsi="Consolas"/>
                <w:color w:val="1E2229"/>
                <w:sz w:val="20"/>
              </w:rPr>
            </w:r>
          </w:p>
          <w:p>
            <w:pPr>
              <w:spacing w:before="20" w:after="60" w:line="269" w:lineRule="auto"/>
            </w:pPr>
            <w:r>
              <w:rPr>
                <w:rFonts w:ascii="Consolas" w:hAnsi="Consolas"/>
                <w:color w:val="1E2229"/>
                <w:sz w:val="20"/>
              </w:rPr>
              <w:t>3. STRICT SPONSOR TECH &amp; JUDGING REQUIREMENTS:</w:t>
            </w:r>
          </w:p>
          <w:p>
            <w:pPr>
              <w:spacing w:before="20" w:after="60" w:line="269" w:lineRule="auto"/>
            </w:pPr>
            <w:r>
              <w:rPr>
                <w:rFonts w:ascii="Consolas" w:hAnsi="Consolas"/>
                <w:color w:val="1E2229"/>
                <w:sz w:val="20"/>
              </w:rPr>
              <w:t>- Zetaris Adapter (`app/adapters/zetaris_adapter.py`): Load-bearing SQL/REST adapter with 30s timeout and seamless fallback to 3 realistic multi-table sample scenarios in `data/samples/`.</w:t>
            </w:r>
          </w:p>
          <w:p>
            <w:pPr>
              <w:spacing w:before="20" w:after="60" w:line="269" w:lineRule="auto"/>
            </w:pPr>
            <w:r>
              <w:rPr>
                <w:rFonts w:ascii="Consolas" w:hAnsi="Consolas"/>
                <w:color w:val="1E2229"/>
                <w:sz w:val="20"/>
              </w:rPr>
              <w:t>- Meterless H-MEM (`app/memory/hmem_engine.py`): Implement Hierarchical Memory (Episodic query logs, Semantic hypothesis state, Procedural critique rules) plus a passing conformance test suite in `tests/test_hmem_conformance.py`.</w:t>
            </w:r>
          </w:p>
          <w:p>
            <w:pPr>
              <w:spacing w:before="20" w:after="60" w:line="269" w:lineRule="auto"/>
            </w:pPr>
            <w:r>
              <w:rPr>
                <w:rFonts w:ascii="Consolas" w:hAnsi="Consolas"/>
                <w:color w:val="1E2229"/>
                <w:sz w:val="20"/>
              </w:rPr>
              <w:t>- Meterless Nightshift &amp; NVIDIA Nemotron (`app/llm/nightshift_client.py`): Route LLM calls via OpenAI SDK pointing to `METERLESS_BASE_URL` using model `nvidia/nemotron-3-super-120b-a12b` (with deterministic offline reasoning fallback when `SAMPLE_MODE=true` and no API key is set).</w:t>
            </w:r>
          </w:p>
          <w:p>
            <w:pPr>
              <w:spacing w:before="20" w:after="60" w:line="269" w:lineRule="auto"/>
            </w:pPr>
            <w:r>
              <w:rPr>
                <w:rFonts w:ascii="Consolas" w:hAnsi="Consolas"/>
                <w:color w:val="1E2229"/>
                <w:sz w:val="20"/>
              </w:rPr>
              <w:t>- Structured Tracing: Write JSONL events to both `stdout` and `logs/trace.jsonl` with fields: `timestamp`, `turn_id`, `agent`, `model`, `event`, `hypothesis_id`, `reasoning`, `sql_query`, `confidence_score`, `status`.</w:t>
            </w:r>
          </w:p>
          <w:p>
            <w:pPr>
              <w:spacing w:before="20" w:after="60" w:line="269" w:lineRule="auto"/>
            </w:pPr>
            <w:r>
              <w:rPr>
                <w:rFonts w:ascii="Consolas" w:hAnsi="Consolas"/>
                <w:color w:val="1E2229"/>
                <w:sz w:val="20"/>
              </w:rPr>
              <w:t>- Entry Points: Provide both CLI (`python run.py --query "..." --sample-mode` and `--input ...`) and a FastAPI Web UI (`app/main.py` with `POST /run` and `GET /health`).</w:t>
            </w:r>
          </w:p>
          <w:p>
            <w:pPr>
              <w:spacing w:before="20" w:after="60" w:line="269" w:lineRule="auto"/>
            </w:pPr>
            <w:r>
              <w:rPr>
                <w:rFonts w:ascii="Consolas" w:hAnsi="Consolas"/>
                <w:color w:val="1E2229"/>
                <w:sz w:val="20"/>
              </w:rPr>
              <w:t>- Security &amp; Docs: Never hardcode secrets. Generate `.env.example`, `.gitignore`, `metadata.json`, and `README.md` (documenting Cursor, Zetaris, Meterless Nightshift, H-MEM, and NVIDIA Nemotron).</w:t>
            </w:r>
          </w:p>
          <w:p>
            <w:pPr>
              <w:spacing w:before="20" w:after="60" w:line="269" w:lineRule="auto"/>
            </w:pPr>
            <w:r>
              <w:rPr>
                <w:rFonts w:ascii="Consolas" w:hAnsi="Consolas"/>
                <w:color w:val="1E2229"/>
                <w:sz w:val="20"/>
              </w:rPr>
            </w:r>
          </w:p>
          <w:p>
            <w:pPr>
              <w:spacing w:before="20" w:after="40" w:line="269" w:lineRule="auto"/>
            </w:pPr>
            <w:r>
              <w:rPr>
                <w:rFonts w:ascii="Consolas" w:hAnsi="Consolas"/>
                <w:color w:val="1E2229"/>
                <w:sz w:val="20"/>
              </w:rPr>
              <w:t>Start by creating the directory structure, configuration files, the 3 sample datasets in `data/samples/`, the core engines (`hmem_engine.py`, `zetaris_adapter.py`, `nightshift_client.py`), the 4 agents, `run.py`, `app/main.py`, and `tests/test_hmem_conformance.py`. Then run pytest and a sample CLI execution to verify zero errors.</w:t>
            </w:r>
          </w:p>
        </w:tc>
      </w:tr>
    </w:tbl>
    <w:p>
      <w:pPr>
        <w:spacing w:before="0" w:after="120"/>
      </w:pPr>
    </w:p>
    <w:p>
      <w:pPr>
        <w:keepNext/>
        <w:spacing w:before="240" w:after="80"/>
      </w:pPr>
      <w:r>
        <w:rPr>
          <w:rFonts w:ascii="Calibri" w:hAnsi="Calibri"/>
          <w:b/>
          <w:color w:val="006666"/>
          <w:sz w:val="26"/>
        </w:rPr>
        <w:t>5.1. Danh Mục Kiểm Tra Cuối Cùng Trước Khi Nộp Bài (Submission Readiness Checklist)</w:t>
      </w:r>
    </w:p>
    <w:tbl>
      <w:tblPr>
        <w:tblW w:type="auto" w:w="0"/>
        <w:jc w:val="center"/>
        <w:tblLook w:firstColumn="1" w:firstRow="1" w:lastColumn="0" w:lastRow="0" w:noHBand="0" w:noVBand="1" w:val="04A0"/>
        <w:tblBorders>
          <w:top w:val="single" w:sz="6" w:space="0" w:color="D0D7DE"/>
          <w:bottom w:val="single" w:sz="8" w:space="0" w:color="1B365D"/>
          <w:insideH w:val="single" w:sz="4" w:space="0" w:color="D0D7DE"/>
          <w:insideV w:val="single" w:sz="4" w:space="0" w:color="D0D7DE"/>
          <w:left w:val="none"/>
          <w:right w:val="none"/>
        </w:tblBorders>
      </w:tblPr>
      <w:tblGrid>
        <w:gridCol w:w="3120"/>
        <w:gridCol w:w="3120"/>
        <w:gridCol w:w="3120"/>
      </w:tblGrid>
      <w:tr>
        <w:trPr>
          <w:tblHeader/>
          <w:cantSplit/>
        </w:trPr>
        <w:tc>
          <w:tcPr>
            <w:tcW w:type="dxa" w:w="2664"/>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Hạng Mục Kiểm Tra</w:t>
            </w:r>
          </w:p>
        </w:tc>
        <w:tc>
          <w:tcPr>
            <w:tcW w:type="dxa" w:w="4968"/>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Tiêu Chuẩn Đạt Yêu Cầu (Pass Criteria)</w:t>
            </w:r>
          </w:p>
        </w:tc>
        <w:tc>
          <w:tcPr>
            <w:tcW w:type="dxa" w:w="1728"/>
            <w:vAlign w:val="center"/>
            <w:tcMar>
              <w:top w:w="110" w:type="dxa"/>
              <w:bottom w:w="110" w:type="dxa"/>
              <w:left w:w="140" w:type="dxa"/>
              <w:right w:w="140" w:type="dxa"/>
            </w:tcMar>
            <w:shd w:fill="1B365D"/>
          </w:tcPr>
          <w:p>
            <w:pPr>
              <w:keepNext/>
              <w:spacing w:before="40" w:after="40"/>
              <w:jc w:val="left"/>
            </w:pPr>
            <w:r>
              <w:rPr>
                <w:rFonts w:ascii="Calibri" w:hAnsi="Calibri"/>
                <w:b/>
                <w:color w:val="FFFFFF"/>
                <w:sz w:val="21"/>
              </w:rPr>
              <w:t>Trạng Thái</w:t>
            </w:r>
          </w:p>
        </w:tc>
      </w:tr>
      <w:tr>
        <w:trPr>
          <w:cantSplit/>
        </w:trPr>
        <w:tc>
          <w:tcPr>
            <w:tcW w:type="dxa" w:w="2664"/>
            <w:vAlign w:val="center"/>
            <w:tcMar>
              <w:top w:w="90" w:type="dxa"/>
              <w:bottom w:w="90" w:type="dxa"/>
              <w:left w:w="140" w:type="dxa"/>
              <w:right w:w="140" w:type="dxa"/>
            </w:tcMar>
          </w:tcPr>
          <w:p>
            <w:pPr>
              <w:spacing w:before="40" w:after="40" w:line="269" w:lineRule="auto"/>
            </w:pPr>
            <w:r>
              <w:rPr>
                <w:rFonts w:ascii="Calibri" w:hAnsi="Calibri"/>
                <w:b/>
                <w:color w:val="22252A"/>
                <w:sz w:val="20"/>
              </w:rPr>
              <w:t>1. Chạy từ bản Clone sạch</w:t>
            </w:r>
          </w:p>
        </w:tc>
        <w:tc>
          <w:tcPr>
            <w:tcW w:type="dxa" w:w="4968"/>
            <w:vAlign w:val="center"/>
            <w:tcMar>
              <w:top w:w="90" w:type="dxa"/>
              <w:bottom w:w="90" w:type="dxa"/>
              <w:left w:w="140" w:type="dxa"/>
              <w:right w:w="140" w:type="dxa"/>
            </w:tcMar>
          </w:tcPr>
          <w:p>
            <w:pPr>
              <w:spacing w:before="40" w:after="40" w:line="269" w:lineRule="auto"/>
            </w:pPr>
            <w:r>
              <w:rPr>
                <w:rFonts w:ascii="Calibri" w:hAnsi="Calibri"/>
                <w:color w:val="22252A"/>
                <w:sz w:val="20"/>
              </w:rPr>
              <w:t>Chạy lệnh `python run.py --sample-mode` hoàn tất trong &lt; 60 giây trên máy CPU tiêu chuẩn, không lỗi thiếu thư viện.</w:t>
            </w:r>
          </w:p>
        </w:tc>
        <w:tc>
          <w:tcPr>
            <w:tcW w:type="dxa" w:w="1728"/>
            <w:vAlign w:val="center"/>
            <w:tcMar>
              <w:top w:w="90" w:type="dxa"/>
              <w:bottom w:w="90" w:type="dxa"/>
              <w:left w:w="140" w:type="dxa"/>
              <w:right w:w="140" w:type="dxa"/>
            </w:tcMar>
          </w:tcPr>
          <w:p>
            <w:pPr>
              <w:spacing w:before="40" w:after="40" w:line="269" w:lineRule="auto"/>
            </w:pPr>
            <w:r>
              <w:rPr>
                <w:rFonts w:ascii="Calibri" w:hAnsi="Calibri"/>
                <w:color w:val="22252A"/>
                <w:sz w:val="20"/>
              </w:rPr>
              <w:t>[  ] Chờ kiểm tra</w:t>
            </w:r>
          </w:p>
        </w:tc>
      </w:tr>
      <w:tr>
        <w:trPr>
          <w:cantSplit/>
        </w:trPr>
        <w:tc>
          <w:tcPr>
            <w:tcW w:type="dxa" w:w="2664"/>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2. Kiểm tra Log phản biện</w:t>
            </w:r>
          </w:p>
        </w:tc>
        <w:tc>
          <w:tcPr>
            <w:tcW w:type="dxa" w:w="4968"/>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Tệp `logs/trace.jsonl` có ít nhất 01 sự kiện `CLAIM_BLOCKED` -&gt; `BRANCH_RETRY` và ghi rõ model `nvidia/nemotron-3-super-120b-a12b`.</w:t>
            </w:r>
          </w:p>
        </w:tc>
        <w:tc>
          <w:tcPr>
            <w:tcW w:type="dxa" w:w="1728"/>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  ] Chờ kiểm tra</w:t>
            </w:r>
          </w:p>
        </w:tc>
      </w:tr>
      <w:tr>
        <w:trPr>
          <w:cantSplit/>
        </w:trPr>
        <w:tc>
          <w:tcPr>
            <w:tcW w:type="dxa" w:w="2664"/>
            <w:vAlign w:val="center"/>
            <w:tcMar>
              <w:top w:w="90" w:type="dxa"/>
              <w:bottom w:w="90" w:type="dxa"/>
              <w:left w:w="140" w:type="dxa"/>
              <w:right w:w="140" w:type="dxa"/>
            </w:tcMar>
          </w:tcPr>
          <w:p>
            <w:pPr>
              <w:spacing w:before="40" w:after="40" w:line="269" w:lineRule="auto"/>
            </w:pPr>
            <w:r>
              <w:rPr>
                <w:rFonts w:ascii="Calibri" w:hAnsi="Calibri"/>
                <w:b/>
                <w:color w:val="22252A"/>
                <w:sz w:val="20"/>
              </w:rPr>
              <w:t>3. Kiểm thử hợp chuẩn H-MEM</w:t>
            </w:r>
          </w:p>
        </w:tc>
        <w:tc>
          <w:tcPr>
            <w:tcW w:type="dxa" w:w="4968"/>
            <w:vAlign w:val="center"/>
            <w:tcMar>
              <w:top w:w="90" w:type="dxa"/>
              <w:bottom w:w="90" w:type="dxa"/>
              <w:left w:w="140" w:type="dxa"/>
              <w:right w:w="140" w:type="dxa"/>
            </w:tcMar>
          </w:tcPr>
          <w:p>
            <w:pPr>
              <w:spacing w:before="40" w:after="40" w:line="269" w:lineRule="auto"/>
            </w:pPr>
            <w:r>
              <w:rPr>
                <w:rFonts w:ascii="Calibri" w:hAnsi="Calibri"/>
                <w:color w:val="22252A"/>
                <w:sz w:val="20"/>
              </w:rPr>
              <w:t>Chạy lệnh `pytest tests/test_hmem_conformance.py` báo Pass 100% các bài kiểm tra lưu và truy xuất bộ nhớ phân cấp.</w:t>
            </w:r>
          </w:p>
        </w:tc>
        <w:tc>
          <w:tcPr>
            <w:tcW w:type="dxa" w:w="1728"/>
            <w:vAlign w:val="center"/>
            <w:tcMar>
              <w:top w:w="90" w:type="dxa"/>
              <w:bottom w:w="90" w:type="dxa"/>
              <w:left w:w="140" w:type="dxa"/>
              <w:right w:w="140" w:type="dxa"/>
            </w:tcMar>
          </w:tcPr>
          <w:p>
            <w:pPr>
              <w:spacing w:before="40" w:after="40" w:line="269" w:lineRule="auto"/>
            </w:pPr>
            <w:r>
              <w:rPr>
                <w:rFonts w:ascii="Calibri" w:hAnsi="Calibri"/>
                <w:color w:val="22252A"/>
                <w:sz w:val="20"/>
              </w:rPr>
              <w:t>[  ] Chờ kiểm tra</w:t>
            </w:r>
          </w:p>
        </w:tc>
      </w:tr>
      <w:tr>
        <w:trPr>
          <w:cantSplit/>
        </w:trPr>
        <w:tc>
          <w:tcPr>
            <w:tcW w:type="dxa" w:w="2664"/>
            <w:vAlign w:val="center"/>
            <w:tcMar>
              <w:top w:w="90" w:type="dxa"/>
              <w:bottom w:w="90" w:type="dxa"/>
              <w:left w:w="140" w:type="dxa"/>
              <w:right w:w="140" w:type="dxa"/>
            </w:tcMar>
            <w:shd w:fill="F0F4F8"/>
          </w:tcPr>
          <w:p>
            <w:pPr>
              <w:spacing w:before="40" w:after="40" w:line="269" w:lineRule="auto"/>
            </w:pPr>
            <w:r>
              <w:rPr>
                <w:rFonts w:ascii="Calibri" w:hAnsi="Calibri"/>
                <w:b/>
                <w:color w:val="22252A"/>
                <w:sz w:val="20"/>
              </w:rPr>
              <w:t>4. Rà soát bảo mật Git</w:t>
            </w:r>
          </w:p>
        </w:tc>
        <w:tc>
          <w:tcPr>
            <w:tcW w:type="dxa" w:w="4968"/>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Kiểm tra `git status` đảm bảo không có tệp `.env` hoặc khóa API thật trong lịch sử commit; `.env.example` đầy đủ biến mẫu.</w:t>
            </w:r>
          </w:p>
        </w:tc>
        <w:tc>
          <w:tcPr>
            <w:tcW w:type="dxa" w:w="1728"/>
            <w:vAlign w:val="center"/>
            <w:tcMar>
              <w:top w:w="90" w:type="dxa"/>
              <w:bottom w:w="90" w:type="dxa"/>
              <w:left w:w="140" w:type="dxa"/>
              <w:right w:w="140" w:type="dxa"/>
            </w:tcMar>
            <w:shd w:fill="F0F4F8"/>
          </w:tcPr>
          <w:p>
            <w:pPr>
              <w:spacing w:before="40" w:after="40" w:line="269" w:lineRule="auto"/>
            </w:pPr>
            <w:r>
              <w:rPr>
                <w:rFonts w:ascii="Calibri" w:hAnsi="Calibri"/>
                <w:color w:val="22252A"/>
                <w:sz w:val="20"/>
              </w:rPr>
              <w:t>[  ] Chờ kiểm tra</w:t>
            </w:r>
          </w:p>
        </w:tc>
      </w:tr>
      <w:tr>
        <w:trPr>
          <w:cantSplit/>
        </w:trPr>
        <w:tc>
          <w:tcPr>
            <w:tcW w:type="dxa" w:w="2664"/>
            <w:vAlign w:val="center"/>
            <w:tcMar>
              <w:top w:w="90" w:type="dxa"/>
              <w:bottom w:w="90" w:type="dxa"/>
              <w:left w:w="140" w:type="dxa"/>
              <w:right w:w="140" w:type="dxa"/>
            </w:tcMar>
          </w:tcPr>
          <w:p>
            <w:pPr>
              <w:spacing w:before="40" w:after="40" w:line="269" w:lineRule="auto"/>
            </w:pPr>
            <w:r>
              <w:rPr>
                <w:rFonts w:ascii="Calibri" w:hAnsi="Calibri"/>
                <w:b/>
                <w:color w:val="22252A"/>
                <w:sz w:val="20"/>
              </w:rPr>
              <w:t>5. Hồ sơ nộp bài (Deliverables)</w:t>
            </w:r>
          </w:p>
        </w:tc>
        <w:tc>
          <w:tcPr>
            <w:tcW w:type="dxa" w:w="4968"/>
            <w:vAlign w:val="center"/>
            <w:tcMar>
              <w:top w:w="90" w:type="dxa"/>
              <w:bottom w:w="90" w:type="dxa"/>
              <w:left w:w="140" w:type="dxa"/>
              <w:right w:w="140" w:type="dxa"/>
            </w:tcMar>
          </w:tcPr>
          <w:p>
            <w:pPr>
              <w:spacing w:before="40" w:after="40" w:line="269" w:lineRule="auto"/>
            </w:pPr>
            <w:r>
              <w:rPr>
                <w:rFonts w:ascii="Calibri" w:hAnsi="Calibri"/>
                <w:color w:val="22252A"/>
                <w:sz w:val="20"/>
              </w:rPr>
              <w:t>Hoàn thiện Video Demo (1–4 phút), Slide Deck thuyết trình, `README.md` và `metadata.json` trước 23:45 UTC ngày 27/10/2026.</w:t>
            </w:r>
          </w:p>
        </w:tc>
        <w:tc>
          <w:tcPr>
            <w:tcW w:type="dxa" w:w="1728"/>
            <w:vAlign w:val="center"/>
            <w:tcMar>
              <w:top w:w="90" w:type="dxa"/>
              <w:bottom w:w="90" w:type="dxa"/>
              <w:left w:w="140" w:type="dxa"/>
              <w:right w:w="140" w:type="dxa"/>
            </w:tcMar>
          </w:tcPr>
          <w:p>
            <w:pPr>
              <w:spacing w:before="40" w:after="40" w:line="269" w:lineRule="auto"/>
            </w:pPr>
            <w:r>
              <w:rPr>
                <w:rFonts w:ascii="Calibri" w:hAnsi="Calibri"/>
                <w:color w:val="22252A"/>
                <w:sz w:val="20"/>
              </w:rPr>
              <w:t>[  ] Chờ kiểm tra</w:t>
            </w:r>
          </w:p>
        </w:tc>
      </w:tr>
    </w:tbl>
    <w:p>
      <w:pPr>
        <w:spacing w:before="0"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9"/>
      </w:rPr>
      <w:t>Dự án MarginWhy  •  Track 02: The Agent That Can Explain Why  •  Zetaris + Meterless H-MEM + NVIDIA Nemotron + Cursor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7085"/>
        <w:sz w:val="19"/>
      </w:rPr>
      <w:t>TÀI LIỆU NGỮ CẢNH HỆ THỐNG (AGENT CONTEXT BLUEPRINT)  |  ĐỘI LIGHT OF NUMBERS — OPEN AGENT HACKATHON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ackathon.genai.works/event/open-agent-hackathon-2026" TargetMode="External"/><Relationship Id="rId12" Type="http://schemas.openxmlformats.org/officeDocument/2006/relationships/hyperlink" Target="https://academy.genai.works/courses/open-agent-hackathon-2026/details" TargetMode="External"/><Relationship Id="rId13" Type="http://schemas.openxmlformats.org/officeDocument/2006/relationships/hyperlink" Target="https://gemini.google.com/share/ab9f45535be9?skid=3d2b152b-1084-4d67-81f8-a1f9975d9f5d" TargetMode="External"/><Relationship Id="rId14" Type="http://schemas.openxmlformats.org/officeDocument/2006/relationships/hyperlink" Target="https://drive.google.com/drive/folders/1dY3C20UT5ms9KNUu1Aiw12oAGErOCPdZ" TargetMode="External"/><Relationship Id="rId15" Type="http://schemas.openxmlformats.org/officeDocument/2006/relationships/image" Target="media/image1.png"/><Relationship Id="rId16" Type="http://schemas.openxmlformats.org/officeDocument/2006/relationships/hyperlink" Target="https://medium.com/@michaelhay_90395/a-tale-of-two-repos-some-hacking-and-a-developer-experience-7aee928cb390" TargetMode="External"/><Relationship Id="rId17" Type="http://schemas.openxmlformats.org/officeDocument/2006/relationships/hyperlink" Target="https://meterless.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