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D6BAE0">
      <w:pPr>
        <w:jc w:val="center"/>
      </w:pPr>
      <w:r>
        <w:rPr>
          <w:rFonts w:ascii="Times New Roman" w:hAnsi="Times New Roman" w:eastAsia="黑体"/>
          <w:b/>
          <w:sz w:val="30"/>
        </w:rPr>
        <w:t>生物信息学 第 3 周作业</w:t>
      </w:r>
      <w:r>
        <w:rPr>
          <w:rFonts w:ascii="Times New Roman" w:hAnsi="Times New Roman" w:eastAsia="黑体"/>
          <w:b/>
          <w:sz w:val="30"/>
        </w:rPr>
        <w:br w:type="textWrapping"/>
      </w:r>
      <w:r>
        <w:rPr>
          <w:rFonts w:ascii="Times New Roman" w:hAnsi="Times New Roman" w:eastAsia="黑体"/>
          <w:b/>
          <w:sz w:val="30"/>
        </w:rPr>
        <w:t>公共数据库数据获取与清洗（Data Fetching and Cleaning from Public Repositories）</w:t>
      </w:r>
    </w:p>
    <w:p w14:paraId="37EBD7A1">
      <w:pPr>
        <w:pStyle w:val="3"/>
      </w:pPr>
      <w:r>
        <w:rPr>
          <w:rFonts w:ascii="Times New Roman" w:hAnsi="Times New Roman" w:eastAsia="黑体"/>
        </w:rPr>
        <w:t>一、按顺序作答：Step 1–5（行动 + 证据）</w:t>
      </w:r>
    </w:p>
    <w:p w14:paraId="634083FE">
      <w:pPr>
        <w:pStyle w:val="4"/>
      </w:pPr>
      <w:r>
        <w:rPr>
          <w:rFonts w:ascii="Times New Roman" w:hAnsi="Times New Roman" w:eastAsia="黑体"/>
        </w:rPr>
        <w:t>Step 1 ｜ 陈述第 2 周的数据驱动问题</w:t>
      </w:r>
    </w:p>
    <w:p w14:paraId="5E75E919">
      <w:pPr>
        <w:rPr>
          <w:rFonts w:ascii="Times New Roman" w:hAnsi="Times New Roman" w:eastAsia="宋体"/>
          <w:b w:val="0"/>
          <w:sz w:val="21"/>
        </w:rPr>
      </w:pPr>
      <w:r>
        <w:rPr>
          <w:rFonts w:ascii="Times New Roman" w:hAnsi="Times New Roman" w:eastAsia="宋体"/>
          <w:b w:val="0"/>
          <w:sz w:val="21"/>
        </w:rPr>
        <w:t>在 10 名接受肝移植的受体（Population）中，比较同一受体肝移植物在再灌注前（pre-reperfusion）与再灌注后（post-reperfusion）两个时间点的批量 RNA-seq 转录组（Comparison + Data type：human bulk RNA-seq，featureCounts 整数计数），识别与缺血-再灌注损伤（IRI）相关的差异表达基因与通路（Outcome）。</w:t>
      </w:r>
    </w:p>
    <w:p w14:paraId="086ED026">
      <w:pPr>
        <w:rPr>
          <w:rFonts w:ascii="Times New Roman" w:hAnsi="Times New Roman" w:eastAsia="宋体"/>
          <w:b w:val="0"/>
          <w:sz w:val="21"/>
        </w:rPr>
      </w:pPr>
    </w:p>
    <w:p w14:paraId="1C7C1D31">
      <w:pPr>
        <w:pStyle w:val="4"/>
      </w:pPr>
      <w:r>
        <w:rPr>
          <w:rFonts w:ascii="Times New Roman" w:hAnsi="Times New Roman" w:eastAsia="黑体"/>
        </w:rPr>
        <w:t>Step 2 ｜ 确认研究身份（GSE / 标题 / 物种 / 论文 / 平台）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8"/>
        <w:gridCol w:w="6898"/>
      </w:tblGrid>
      <w:tr w14:paraId="584FDF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5D055F5F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19"/>
              </w:rPr>
              <w:t>字段</w:t>
            </w:r>
          </w:p>
        </w:tc>
        <w:tc>
          <w:tcPr>
            <w:tcW w:w="7200" w:type="dxa"/>
          </w:tcPr>
          <w:p w14:paraId="5B85105E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19"/>
              </w:rPr>
              <w:t>内容（已核实）</w:t>
            </w:r>
          </w:p>
        </w:tc>
      </w:tr>
      <w:tr w14:paraId="3020DB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16DEB7E2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GSE</w:t>
            </w:r>
          </w:p>
        </w:tc>
        <w:tc>
          <w:tcPr>
            <w:tcW w:w="7200" w:type="dxa"/>
          </w:tcPr>
          <w:p w14:paraId="436C70F2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GSE87487</w:t>
            </w:r>
          </w:p>
        </w:tc>
      </w:tr>
      <w:tr w14:paraId="733243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2E94DB3B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标题</w:t>
            </w:r>
          </w:p>
        </w:tc>
        <w:tc>
          <w:tcPr>
            <w:tcW w:w="7200" w:type="dxa"/>
          </w:tcPr>
          <w:p w14:paraId="5962849D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Genes encoding cognate receptors for IRI-related recipient cytokines are expressed in donor livers</w:t>
            </w:r>
          </w:p>
        </w:tc>
      </w:tr>
      <w:tr w14:paraId="0D8FE0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3E0CE2F1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物种 (organism)</w:t>
            </w:r>
          </w:p>
        </w:tc>
        <w:tc>
          <w:tcPr>
            <w:tcW w:w="7200" w:type="dxa"/>
          </w:tcPr>
          <w:p w14:paraId="04B07D7C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Homo sapiens（taxid 9606）</w:t>
            </w:r>
          </w:p>
        </w:tc>
      </w:tr>
      <w:tr w14:paraId="720DB8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16983AE0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关联论文</w:t>
            </w:r>
          </w:p>
        </w:tc>
        <w:tc>
          <w:tcPr>
            <w:tcW w:w="7200" w:type="dxa"/>
          </w:tcPr>
          <w:p w14:paraId="3B6963A4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Sosa RA, … JCI Insight 2016;1(20):e89679 — PMID 27942590，DOI 10.1172/jci.insight.89679</w:t>
            </w:r>
          </w:p>
        </w:tc>
      </w:tr>
      <w:tr w14:paraId="384E6D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65A7D4F0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平台 (platform)</w:t>
            </w:r>
          </w:p>
        </w:tc>
        <w:tc>
          <w:tcPr>
            <w:tcW w:w="7200" w:type="dxa"/>
          </w:tcPr>
          <w:p w14:paraId="419507B4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GPL11154 — Illumina HiSeq 2000（101 bp 双端；featureCounts 定量）</w:t>
            </w:r>
          </w:p>
        </w:tc>
      </w:tr>
      <w:tr w14:paraId="408C8D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68750C72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数据类型</w:t>
            </w:r>
          </w:p>
        </w:tc>
        <w:tc>
          <w:tcPr>
            <w:tcW w:w="7200" w:type="dxa"/>
          </w:tcPr>
          <w:p w14:paraId="72FEB969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bulk RNA-seq 计数矩阵（20 个肝移植物活检）</w:t>
            </w:r>
          </w:p>
        </w:tc>
      </w:tr>
    </w:tbl>
    <w:p w14:paraId="646C626F">
      <w:pPr>
        <w:rPr>
          <w:rFonts w:ascii="Times New Roman" w:hAnsi="Times New Roman" w:eastAsia="宋体"/>
          <w:b w:val="0"/>
          <w:sz w:val="19"/>
        </w:rPr>
      </w:pPr>
      <w:r>
        <w:rPr>
          <w:rFonts w:ascii="Times New Roman" w:hAnsi="Times New Roman" w:eastAsia="宋体"/>
          <w:b w:val="0"/>
          <w:sz w:val="19"/>
        </w:rPr>
        <w:t>核实方式：GEO Series 页面 + GSE87487_family.soft.gz 的 !Series / !Platform 段 + PubMed E-utilities （esummary PMID 27942590）。</w:t>
      </w:r>
    </w:p>
    <w:p w14:paraId="2E909A55">
      <w:pPr>
        <w:rPr>
          <w:rFonts w:ascii="Times New Roman" w:hAnsi="Times New Roman" w:eastAsia="宋体"/>
          <w:b w:val="0"/>
          <w:sz w:val="19"/>
        </w:rPr>
      </w:pPr>
    </w:p>
    <w:p w14:paraId="42AA19F6">
      <w:pPr>
        <w:pStyle w:val="4"/>
      </w:pPr>
      <w:r>
        <w:rPr>
          <w:rFonts w:ascii="Times New Roman" w:hAnsi="Times New Roman" w:eastAsia="黑体"/>
        </w:rPr>
        <w:t>Step 3 ｜ 映射 accession（至少 1 个 GSM + 关联的 BioProject/SRP/SRR）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9"/>
        <w:gridCol w:w="3278"/>
        <w:gridCol w:w="3789"/>
      </w:tblGrid>
      <w:tr w14:paraId="113ACF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20EA36DD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19"/>
              </w:rPr>
              <w:t>层级</w:t>
            </w:r>
          </w:p>
        </w:tc>
        <w:tc>
          <w:tcPr>
            <w:tcW w:w="3456" w:type="dxa"/>
          </w:tcPr>
          <w:p w14:paraId="2180B86C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19"/>
              </w:rPr>
              <w:t>示例 accession</w:t>
            </w:r>
          </w:p>
        </w:tc>
        <w:tc>
          <w:tcPr>
            <w:tcW w:w="3888" w:type="dxa"/>
          </w:tcPr>
          <w:p w14:paraId="55A6F8DB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 w14:paraId="59CC81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1ADDDB58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Series</w:t>
            </w:r>
          </w:p>
        </w:tc>
        <w:tc>
          <w:tcPr>
            <w:tcW w:w="3456" w:type="dxa"/>
          </w:tcPr>
          <w:p w14:paraId="33E3245B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GSE87487</w:t>
            </w:r>
          </w:p>
        </w:tc>
        <w:tc>
          <w:tcPr>
            <w:tcW w:w="3888" w:type="dxa"/>
          </w:tcPr>
          <w:p w14:paraId="3A9D619F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研究入口</w:t>
            </w:r>
          </w:p>
        </w:tc>
      </w:tr>
      <w:tr w14:paraId="5A1938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7EC3C8A7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Sample (GSM)</w:t>
            </w:r>
          </w:p>
        </w:tc>
        <w:tc>
          <w:tcPr>
            <w:tcW w:w="3456" w:type="dxa"/>
          </w:tcPr>
          <w:p w14:paraId="4BB45803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GSM2332515</w:t>
            </w:r>
          </w:p>
        </w:tc>
        <w:tc>
          <w:tcPr>
            <w:tcW w:w="3888" w:type="dxa"/>
          </w:tcPr>
          <w:p w14:paraId="4B8F4049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RJBx1（受体 Pt-RJ，pre-reperfusion，IRI positive）</w:t>
            </w:r>
          </w:p>
        </w:tc>
      </w:tr>
      <w:tr w14:paraId="783976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3EC46B98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Platform (GPL)</w:t>
            </w:r>
          </w:p>
        </w:tc>
        <w:tc>
          <w:tcPr>
            <w:tcW w:w="3456" w:type="dxa"/>
          </w:tcPr>
          <w:p w14:paraId="74C0907A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GPL11154</w:t>
            </w:r>
          </w:p>
        </w:tc>
        <w:tc>
          <w:tcPr>
            <w:tcW w:w="3888" w:type="dxa"/>
          </w:tcPr>
          <w:p w14:paraId="59110055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Illumina HiSeq 2000</w:t>
            </w:r>
          </w:p>
        </w:tc>
      </w:tr>
      <w:tr w14:paraId="312AEB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0B9BE3F8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BioProject</w:t>
            </w:r>
          </w:p>
        </w:tc>
        <w:tc>
          <w:tcPr>
            <w:tcW w:w="3456" w:type="dxa"/>
          </w:tcPr>
          <w:p w14:paraId="56C88C11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PRJNA344898</w:t>
            </w:r>
          </w:p>
        </w:tc>
        <w:tc>
          <w:tcPr>
            <w:tcW w:w="3888" w:type="dxa"/>
          </w:tcPr>
          <w:p w14:paraId="2BC59612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经 E-utilities elink(SRP090633→PRJNA344898) 确认</w:t>
            </w:r>
          </w:p>
        </w:tc>
      </w:tr>
      <w:tr w14:paraId="728394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4251BF5B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SRA study</w:t>
            </w:r>
          </w:p>
        </w:tc>
        <w:tc>
          <w:tcPr>
            <w:tcW w:w="3456" w:type="dxa"/>
          </w:tcPr>
          <w:p w14:paraId="2A4D53E2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SRP090633</w:t>
            </w:r>
          </w:p>
        </w:tc>
        <w:tc>
          <w:tcPr>
            <w:tcW w:w="3888" w:type="dxa"/>
          </w:tcPr>
          <w:p w14:paraId="1084105A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原始 reads 项目（Reading Material 亦记为 SRP090633）</w:t>
            </w:r>
          </w:p>
        </w:tc>
      </w:tr>
      <w:tr w14:paraId="3C4DD4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36DE0F12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Experiment (SRX)</w:t>
            </w:r>
          </w:p>
        </w:tc>
        <w:tc>
          <w:tcPr>
            <w:tcW w:w="3456" w:type="dxa"/>
          </w:tcPr>
          <w:p w14:paraId="5FF59D78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SRX2199841</w:t>
            </w:r>
          </w:p>
        </w:tc>
        <w:tc>
          <w:tcPr>
            <w:tcW w:w="3888" w:type="dxa"/>
          </w:tcPr>
          <w:p w14:paraId="09455878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GSM2332515 对应的测序实验</w:t>
            </w:r>
          </w:p>
        </w:tc>
      </w:tr>
      <w:tr w14:paraId="2EC72B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7E9621E9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Run (SRR)</w:t>
            </w:r>
          </w:p>
        </w:tc>
        <w:tc>
          <w:tcPr>
            <w:tcW w:w="3456" w:type="dxa"/>
          </w:tcPr>
          <w:p w14:paraId="2A590781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SRR4305577（另含 SRR4305578–580）</w:t>
            </w:r>
          </w:p>
        </w:tc>
        <w:tc>
          <w:tcPr>
            <w:tcW w:w="3888" w:type="dxa"/>
          </w:tcPr>
          <w:p w14:paraId="03485DED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SRX2199841 下 4 个 run 之一</w:t>
            </w:r>
          </w:p>
        </w:tc>
      </w:tr>
    </w:tbl>
    <w:p w14:paraId="68AB969B">
      <w:pPr>
        <w:rPr>
          <w:rFonts w:ascii="Times New Roman" w:hAnsi="Times New Roman" w:eastAsia="宋体"/>
          <w:b w:val="0"/>
          <w:sz w:val="19"/>
        </w:rPr>
      </w:pPr>
      <w:r>
        <w:rPr>
          <w:rFonts w:ascii="Times New Roman" w:hAnsi="Times New Roman" w:eastAsia="宋体"/>
          <w:b w:val="0"/>
          <w:sz w:val="19"/>
        </w:rPr>
        <w:t>注：每个 SRX 对应 4 个 SRR run（技术重复/分块），映射到同一 GSM 样本；共 20 个 GSM ↔ 20 个 SRX ↔ 80 个 SRR。</w:t>
      </w:r>
    </w:p>
    <w:p w14:paraId="41D946A6">
      <w:pPr>
        <w:rPr>
          <w:rFonts w:ascii="Times New Roman" w:hAnsi="Times New Roman" w:eastAsia="宋体"/>
          <w:b w:val="0"/>
          <w:sz w:val="19"/>
        </w:rPr>
      </w:pPr>
    </w:p>
    <w:p w14:paraId="2356FC69">
      <w:pPr>
        <w:pStyle w:val="4"/>
      </w:pPr>
      <w:r>
        <w:rPr>
          <w:rFonts w:ascii="Times New Roman" w:hAnsi="Times New Roman" w:eastAsia="黑体"/>
        </w:rPr>
        <w:t>Step 4 ｜ 识别可用的数据层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7"/>
        <w:gridCol w:w="3346"/>
        <w:gridCol w:w="3443"/>
      </w:tblGrid>
      <w:tr w14:paraId="54F366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30BB091F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19"/>
              </w:rPr>
              <w:t>数据层</w:t>
            </w:r>
          </w:p>
        </w:tc>
        <w:tc>
          <w:tcPr>
            <w:tcW w:w="2736" w:type="dxa"/>
          </w:tcPr>
          <w:p w14:paraId="6F008064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19"/>
              </w:rPr>
              <w:t>是否可用</w:t>
            </w:r>
          </w:p>
        </w:tc>
        <w:tc>
          <w:tcPr>
            <w:tcW w:w="4176" w:type="dxa"/>
          </w:tcPr>
          <w:p w14:paraId="51FD1D7F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19"/>
              </w:rPr>
              <w:t>备注 / 用途</w:t>
            </w:r>
          </w:p>
        </w:tc>
      </w:tr>
      <w:tr w14:paraId="55BE99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1E4AA536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Series Matrix</w:t>
            </w:r>
          </w:p>
        </w:tc>
        <w:tc>
          <w:tcPr>
            <w:tcW w:w="2736" w:type="dxa"/>
          </w:tcPr>
          <w:p w14:paraId="3A338556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有（GSE87487_series_matrix.txt.gz）</w:t>
            </w:r>
          </w:p>
        </w:tc>
        <w:tc>
          <w:tcPr>
            <w:tcW w:w="4176" w:type="dxa"/>
          </w:tcPr>
          <w:p w14:paraId="558A03A7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仅含样本表型/平台注释，实测矩阵内无表达数值行，不可作计数输入</w:t>
            </w:r>
          </w:p>
        </w:tc>
      </w:tr>
      <w:tr w14:paraId="7317C2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5DECF5D5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Supplementary counts</w:t>
            </w:r>
          </w:p>
        </w:tc>
        <w:tc>
          <w:tcPr>
            <w:tcW w:w="2736" w:type="dxa"/>
          </w:tcPr>
          <w:p w14:paraId="7EDB34E9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有（GSE87487_counts.20samples.txt.gz，3.7 MB）</w:t>
            </w:r>
          </w:p>
        </w:tc>
        <w:tc>
          <w:tcPr>
            <w:tcW w:w="4176" w:type="dxa"/>
          </w:tcPr>
          <w:p w14:paraId="4FFD21AC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featureCounts 整数计数 → 本次分析使用的输入</w:t>
            </w:r>
          </w:p>
        </w:tc>
      </w:tr>
      <w:tr w14:paraId="6B397E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36709073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Raw reads (FASTQ)</w:t>
            </w:r>
          </w:p>
        </w:tc>
        <w:tc>
          <w:tcPr>
            <w:tcW w:w="2736" w:type="dxa"/>
          </w:tcPr>
          <w:p w14:paraId="068841D2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有（SRA SRP090633）</w:t>
            </w:r>
          </w:p>
        </w:tc>
        <w:tc>
          <w:tcPr>
            <w:tcW w:w="4176" w:type="dxa"/>
          </w:tcPr>
          <w:p w14:paraId="32589BC7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可全流程重处理，但超出一小时作业范围</w:t>
            </w:r>
          </w:p>
        </w:tc>
      </w:tr>
      <w:tr w14:paraId="5D112A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1BA8AA99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Single-cell files</w:t>
            </w:r>
          </w:p>
        </w:tc>
        <w:tc>
          <w:tcPr>
            <w:tcW w:w="2736" w:type="dxa"/>
          </w:tcPr>
          <w:p w14:paraId="12938C31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无</w:t>
            </w:r>
          </w:p>
        </w:tc>
        <w:tc>
          <w:tcPr>
            <w:tcW w:w="4176" w:type="dxa"/>
          </w:tcPr>
          <w:p w14:paraId="33E5F379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本研究为 bulk RNA-seq，非单细胞</w:t>
            </w:r>
          </w:p>
        </w:tc>
      </w:tr>
    </w:tbl>
    <w:p w14:paraId="257EFE73">
      <w:pPr>
        <w:rPr>
          <w:rFonts w:ascii="Times New Roman" w:hAnsi="Times New Roman" w:eastAsia="宋体"/>
          <w:b w:val="0"/>
          <w:sz w:val="19"/>
        </w:rPr>
      </w:pPr>
      <w:r>
        <w:rPr>
          <w:rFonts w:ascii="Times New Roman" w:hAnsi="Times New Roman" w:eastAsia="宋体"/>
          <w:b w:val="0"/>
          <w:sz w:val="19"/>
        </w:rPr>
        <w:t>风险对照（讲义图 4）：counts 是 DESeq2/edgeR 的合法输入；Series Matrix 的标准化值/TPM 不能当 raw count 喂给负二项模型。</w:t>
      </w:r>
    </w:p>
    <w:p w14:paraId="4490E730">
      <w:pPr>
        <w:rPr>
          <w:rFonts w:ascii="Times New Roman" w:hAnsi="Times New Roman" w:eastAsia="宋体"/>
          <w:b w:val="0"/>
          <w:sz w:val="19"/>
        </w:rPr>
      </w:pPr>
    </w:p>
    <w:p w14:paraId="66EB9050">
      <w:pPr>
        <w:pStyle w:val="4"/>
      </w:pPr>
      <w:r>
        <w:rPr>
          <w:rFonts w:ascii="Times New Roman" w:hAnsi="Times New Roman" w:eastAsia="黑体"/>
        </w:rPr>
        <w:t>Step 5 ｜ 重建设计（组别 / n / 配对 / 协变量 / 批次）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2"/>
        <w:gridCol w:w="6914"/>
      </w:tblGrid>
      <w:tr w14:paraId="4710E6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</w:tcPr>
          <w:p w14:paraId="64F901F4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19"/>
              </w:rPr>
              <w:t>要素</w:t>
            </w:r>
          </w:p>
        </w:tc>
        <w:tc>
          <w:tcPr>
            <w:tcW w:w="6914" w:type="dxa"/>
          </w:tcPr>
          <w:p w14:paraId="275CEBFB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19"/>
              </w:rPr>
              <w:t>内容</w:t>
            </w:r>
          </w:p>
        </w:tc>
      </w:tr>
      <w:tr w14:paraId="7C2163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</w:tcPr>
          <w:p w14:paraId="0B5F5F21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组别 (groups)</w:t>
            </w:r>
          </w:p>
        </w:tc>
        <w:tc>
          <w:tcPr>
            <w:tcW w:w="6914" w:type="dxa"/>
          </w:tcPr>
          <w:p w14:paraId="2EFCD235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IRI positive：5 名受体 / 10 个样本；IRI negative：5 名受体 / 10 个样本</w:t>
            </w:r>
          </w:p>
        </w:tc>
      </w:tr>
      <w:tr w14:paraId="45B9B4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</w:tcPr>
          <w:p w14:paraId="6462E603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时间点</w:t>
            </w:r>
          </w:p>
        </w:tc>
        <w:tc>
          <w:tcPr>
            <w:tcW w:w="6914" w:type="dxa"/>
          </w:tcPr>
          <w:p w14:paraId="6499F895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pre-reperfusion（再灌注前）、post-reperfusion（再灌注后）</w:t>
            </w:r>
          </w:p>
        </w:tc>
      </w:tr>
      <w:tr w14:paraId="5FA072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</w:tcPr>
          <w:p w14:paraId="1A2F15FB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n</w:t>
            </w:r>
          </w:p>
        </w:tc>
        <w:tc>
          <w:tcPr>
            <w:tcW w:w="6914" w:type="dxa"/>
          </w:tcPr>
          <w:p w14:paraId="614EFCED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20 个样本 = 10 名受体 × 2 时间点（配对）</w:t>
            </w:r>
          </w:p>
        </w:tc>
      </w:tr>
      <w:tr w14:paraId="29E564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</w:tcPr>
          <w:p w14:paraId="157AD9F1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配对结构 (subject)</w:t>
            </w:r>
          </w:p>
        </w:tc>
        <w:tc>
          <w:tcPr>
            <w:tcW w:w="6914" w:type="dxa"/>
          </w:tcPr>
          <w:p w14:paraId="14424FED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同一受体 pre/post 为重复测量；subject_id = Pt-RJ, Pt-MJ, …（见 metadata/GSE87487_design.tsv）</w:t>
            </w:r>
          </w:p>
        </w:tc>
      </w:tr>
      <w:tr w14:paraId="59C74A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</w:tcPr>
          <w:p w14:paraId="5B70C3FD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主要协变量</w:t>
            </w:r>
          </w:p>
        </w:tc>
        <w:tc>
          <w:tcPr>
            <w:tcW w:w="6914" w:type="dxa"/>
          </w:tcPr>
          <w:p w14:paraId="380A3D5C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IRI status、reperfusion stage、recipient(subject)、测序仪（Illumina HiSeq 2000）</w:t>
            </w:r>
          </w:p>
        </w:tc>
      </w:tr>
      <w:tr w14:paraId="5CC8CC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</w:tcPr>
          <w:p w14:paraId="232630AB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批次 (batch)</w:t>
            </w:r>
          </w:p>
        </w:tc>
        <w:tc>
          <w:tcPr>
            <w:tcW w:w="6914" w:type="dxa"/>
          </w:tcPr>
          <w:p w14:paraId="67A27046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仓库未提供显式批次字段；PCA 未见明显批簇，但无法完全排除</w:t>
            </w:r>
          </w:p>
        </w:tc>
      </w:tr>
    </w:tbl>
    <w:p w14:paraId="67934DFF">
      <w:pPr>
        <w:pStyle w:val="3"/>
        <w:rPr>
          <w:rFonts w:ascii="Times New Roman" w:hAnsi="Times New Roman" w:eastAsia="黑体"/>
        </w:rPr>
      </w:pPr>
    </w:p>
    <w:p w14:paraId="761982F1">
      <w:pPr>
        <w:pStyle w:val="3"/>
      </w:pPr>
      <w:r>
        <w:rPr>
          <w:rFonts w:ascii="Times New Roman" w:hAnsi="Times New Roman" w:eastAsia="黑体"/>
        </w:rPr>
        <w:t>二、Table 1 — 四个判断（Are the values counts? 等）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5"/>
        <w:gridCol w:w="2049"/>
        <w:gridCol w:w="4312"/>
      </w:tblGrid>
      <w:tr w14:paraId="0D9288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38288FC5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19"/>
              </w:rPr>
              <w:t>问题</w:t>
            </w:r>
          </w:p>
        </w:tc>
        <w:tc>
          <w:tcPr>
            <w:tcW w:w="2160" w:type="dxa"/>
          </w:tcPr>
          <w:p w14:paraId="220B1066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19"/>
              </w:rPr>
              <w:t>决定</w:t>
            </w:r>
          </w:p>
        </w:tc>
        <w:tc>
          <w:tcPr>
            <w:tcW w:w="4464" w:type="dxa"/>
          </w:tcPr>
          <w:p w14:paraId="219F4C86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19"/>
              </w:rPr>
              <w:t>证据 / 理由</w:t>
            </w:r>
          </w:p>
        </w:tc>
      </w:tr>
      <w:tr w14:paraId="014F54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7A63CC11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Are the values counts?</w:t>
            </w:r>
          </w:p>
        </w:tc>
        <w:tc>
          <w:tcPr>
            <w:tcW w:w="2160" w:type="dxa"/>
          </w:tcPr>
          <w:p w14:paraId="6C1ABB80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是 — 确为整数计数</w:t>
            </w:r>
          </w:p>
        </w:tc>
        <w:tc>
          <w:tcPr>
            <w:tcW w:w="4464" w:type="dxa"/>
          </w:tcPr>
          <w:p w14:paraId="187C0D77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下载后实测：所有值 == floor(值)，最小值 0、最大值 1,003,757，负数 0、NA 0；60,498 基因 × 20 样本全为整数（见 cleaning_summary.tsv）。</w:t>
            </w:r>
          </w:p>
        </w:tc>
      </w:tr>
      <w:tr w14:paraId="350CD0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3A3A17A3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Are samples independent?</w:t>
            </w:r>
          </w:p>
        </w:tc>
        <w:tc>
          <w:tcPr>
            <w:tcW w:w="2160" w:type="dxa"/>
          </w:tcPr>
          <w:p w14:paraId="4ABBE5A9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否 — 必须保留配对</w:t>
            </w:r>
          </w:p>
        </w:tc>
        <w:tc>
          <w:tcPr>
            <w:tcW w:w="4464" w:type="dxa"/>
          </w:tcPr>
          <w:p w14:paraId="5CFFF765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pre/post 来自同一受体，是重复测量。元数据中保留 subject_id；受体内 RMS=0.73 &lt; 受体间 RMS=0.94（比值 1.29），证明配对真实存在。</w:t>
            </w:r>
          </w:p>
        </w:tc>
      </w:tr>
      <w:tr w14:paraId="78DB6C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5C6D349C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Can all 20 be compared directly?</w:t>
            </w:r>
          </w:p>
        </w:tc>
        <w:tc>
          <w:tcPr>
            <w:tcW w:w="2160" w:type="dxa"/>
          </w:tcPr>
          <w:p w14:paraId="61B02AF0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否 — 分析前须先定义具体对比</w:t>
            </w:r>
          </w:p>
        </w:tc>
        <w:tc>
          <w:tcPr>
            <w:tcW w:w="4464" w:type="dxa"/>
          </w:tcPr>
          <w:p w14:paraId="66BE7884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IRI(2 水平) × stage(2 水平) = 多因素，20 样本不足以支撑完整 2×2。主对比建议：post vs pre（配对，~ subject）；或 IRI+_post vs IRI-_post（再灌注时 IRI 效应）。</w:t>
            </w:r>
          </w:p>
        </w:tc>
      </w:tr>
      <w:tr w14:paraId="4DE16D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36C35348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Is full raw-read reprocessing possible?</w:t>
            </w:r>
          </w:p>
        </w:tc>
        <w:tc>
          <w:tcPr>
            <w:tcW w:w="2160" w:type="dxa"/>
          </w:tcPr>
          <w:p w14:paraId="49913C4C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可行，但超出一小时作业</w:t>
            </w:r>
          </w:p>
        </w:tc>
        <w:tc>
          <w:tcPr>
            <w:tcW w:w="4464" w:type="dxa"/>
          </w:tcPr>
          <w:p w14:paraId="716223EE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SRA 链接存在（SRR4305577…），run→sample 可映射；本次使用提交者计数矩阵，重处理留作下一步验证。</w:t>
            </w:r>
          </w:p>
        </w:tc>
      </w:tr>
    </w:tbl>
    <w:p w14:paraId="2ABE5430">
      <w:pPr>
        <w:pStyle w:val="3"/>
        <w:rPr>
          <w:rFonts w:ascii="Times New Roman" w:hAnsi="Times New Roman" w:eastAsia="黑体"/>
        </w:rPr>
      </w:pPr>
    </w:p>
    <w:p w14:paraId="135992DD">
      <w:pPr>
        <w:pStyle w:val="3"/>
      </w:pPr>
      <w:r>
        <w:rPr>
          <w:rFonts w:ascii="Times New Roman" w:hAnsi="Times New Roman" w:eastAsia="黑体"/>
        </w:rPr>
        <w:t>三、Dataset triage card（六准则评分，0–2 分）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0"/>
        <w:gridCol w:w="1108"/>
        <w:gridCol w:w="4568"/>
      </w:tblGrid>
      <w:tr w14:paraId="760CA6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3312" w:type="dxa"/>
          </w:tcPr>
          <w:p w14:paraId="4BA6947F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19"/>
              </w:rPr>
              <w:t>准则</w:t>
            </w:r>
          </w:p>
        </w:tc>
        <w:tc>
          <w:tcPr>
            <w:tcW w:w="1152" w:type="dxa"/>
          </w:tcPr>
          <w:p w14:paraId="38AF3715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19"/>
              </w:rPr>
              <w:t>评分</w:t>
            </w:r>
          </w:p>
        </w:tc>
        <w:tc>
          <w:tcPr>
            <w:tcW w:w="4752" w:type="dxa"/>
          </w:tcPr>
          <w:p w14:paraId="49C73CC9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19"/>
              </w:rPr>
              <w:t>判据</w:t>
            </w:r>
          </w:p>
        </w:tc>
      </w:tr>
      <w:tr w14:paraId="635ABA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7696BDE2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Biological fit（生物契合）</w:t>
            </w:r>
          </w:p>
        </w:tc>
        <w:tc>
          <w:tcPr>
            <w:tcW w:w="1152" w:type="dxa"/>
          </w:tcPr>
          <w:p w14:paraId="54F603B7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w="4752" w:type="dxa"/>
          </w:tcPr>
          <w:p w14:paraId="0A2A59CF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人肝移植物、pre/post、IRI，与研究问题完全匹配</w:t>
            </w:r>
          </w:p>
        </w:tc>
      </w:tr>
      <w:tr w14:paraId="560E31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3E74DD3E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Replication（重复）</w:t>
            </w:r>
          </w:p>
        </w:tc>
        <w:tc>
          <w:tcPr>
            <w:tcW w:w="1152" w:type="dxa"/>
          </w:tcPr>
          <w:p w14:paraId="02602DCF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w="4752" w:type="dxa"/>
          </w:tcPr>
          <w:p w14:paraId="660C357A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10 名配对受体；IRI 两组各 5 名，样本量偏小</w:t>
            </w:r>
          </w:p>
        </w:tc>
      </w:tr>
      <w:tr w14:paraId="2A3154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183FA8DE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Metadata（元数据）</w:t>
            </w:r>
          </w:p>
        </w:tc>
        <w:tc>
          <w:tcPr>
            <w:tcW w:w="1152" w:type="dxa"/>
          </w:tcPr>
          <w:p w14:paraId="1E748B1D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w="4752" w:type="dxa"/>
          </w:tcPr>
          <w:p w14:paraId="055BA40B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subject/IRI/stage 均可从 SOFT 解析并可用</w:t>
            </w:r>
          </w:p>
        </w:tc>
      </w:tr>
      <w:tr w14:paraId="6FB4AF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447EC6E2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Files（文件）</w:t>
            </w:r>
          </w:p>
        </w:tc>
        <w:tc>
          <w:tcPr>
            <w:tcW w:w="1152" w:type="dxa"/>
          </w:tcPr>
          <w:p w14:paraId="0ACDDD4B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w="4752" w:type="dxa"/>
          </w:tcPr>
          <w:p w14:paraId="57D4743D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计数矩阵 + 原始 read 链接均公开</w:t>
            </w:r>
          </w:p>
        </w:tc>
      </w:tr>
      <w:tr w14:paraId="7A9DA7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753E4CBD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Provenance（可追溯）</w:t>
            </w:r>
          </w:p>
        </w:tc>
        <w:tc>
          <w:tcPr>
            <w:tcW w:w="1152" w:type="dxa"/>
          </w:tcPr>
          <w:p w14:paraId="319BC0FD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w="4752" w:type="dxa"/>
          </w:tcPr>
          <w:p w14:paraId="7D0CF366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论文、平台、定量方法（featureCounts）清晰</w:t>
            </w:r>
          </w:p>
        </w:tc>
      </w:tr>
      <w:tr w14:paraId="17801B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53E0F425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Access &amp; ethics（访问/伦理）</w:t>
            </w:r>
          </w:p>
        </w:tc>
        <w:tc>
          <w:tcPr>
            <w:tcW w:w="1152" w:type="dxa"/>
          </w:tcPr>
          <w:p w14:paraId="03063667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w="4752" w:type="dxa"/>
          </w:tcPr>
          <w:p w14:paraId="194805A9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GEO/SRA 开放获取，无受控数据</w:t>
            </w:r>
          </w:p>
        </w:tc>
      </w:tr>
      <w:tr w14:paraId="68C3E8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7C17553E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合计</w:t>
            </w:r>
          </w:p>
        </w:tc>
        <w:tc>
          <w:tcPr>
            <w:tcW w:w="1152" w:type="dxa"/>
          </w:tcPr>
          <w:p w14:paraId="045D8446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11 / 12</w:t>
            </w:r>
          </w:p>
        </w:tc>
        <w:tc>
          <w:tcPr>
            <w:tcW w:w="4752" w:type="dxa"/>
          </w:tcPr>
          <w:p w14:paraId="311F11DC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≥ 9 → 决定：Proceed（带「n 小」这一明示局限）</w:t>
            </w:r>
          </w:p>
        </w:tc>
      </w:tr>
    </w:tbl>
    <w:p w14:paraId="72640839">
      <w:r>
        <w:rPr>
          <w:rFonts w:ascii="Times New Roman" w:hAnsi="Times New Roman" w:eastAsia="宋体"/>
          <w:b/>
          <w:sz w:val="21"/>
        </w:rPr>
        <w:t>决定：Proceed。该数据集适合教学（仓库同时暴露 processed counts、raw-read 链接与配对设计）；唯一需明示的局限是样本量小、IRI 两组各 5 名受体。</w:t>
      </w:r>
    </w:p>
    <w:p w14:paraId="63348224">
      <w:pPr>
        <w:pStyle w:val="3"/>
      </w:pPr>
      <w:r>
        <w:rPr>
          <w:rFonts w:ascii="Times New Roman" w:hAnsi="Times New Roman" w:eastAsia="黑体"/>
        </w:rPr>
        <w:t>四、完整性与清洗摘要（Integrity &amp; cleaning summary）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9"/>
        <w:gridCol w:w="6367"/>
      </w:tblGrid>
      <w:tr w14:paraId="4C77AC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592" w:type="dxa"/>
          </w:tcPr>
          <w:p w14:paraId="7349D465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19"/>
              </w:rPr>
              <w:t>检查项</w:t>
            </w:r>
          </w:p>
        </w:tc>
        <w:tc>
          <w:tcPr>
            <w:tcW w:w="6624" w:type="dxa"/>
          </w:tcPr>
          <w:p w14:paraId="55F5C6FA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19"/>
              </w:rPr>
              <w:t>结果</w:t>
            </w:r>
          </w:p>
        </w:tc>
      </w:tr>
      <w:tr w14:paraId="406CF1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1450BB0A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原始矩阵维度</w:t>
            </w:r>
          </w:p>
        </w:tc>
        <w:tc>
          <w:tcPr>
            <w:tcW w:w="6624" w:type="dxa"/>
          </w:tcPr>
          <w:p w14:paraId="592BEDB7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60,498 基因 × 20 样本（列=Ensembl gene_id 带版本；前 6 列为注释列）</w:t>
            </w:r>
          </w:p>
        </w:tc>
      </w:tr>
      <w:tr w14:paraId="0E7303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0478BC31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注释列</w:t>
            </w:r>
          </w:p>
        </w:tc>
        <w:tc>
          <w:tcPr>
            <w:tcW w:w="6624" w:type="dxa"/>
          </w:tcPr>
          <w:p w14:paraId="5321AFAC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Geneid, Chr, Start, End, Strand, Length（与计数矩阵分离存储）</w:t>
            </w:r>
          </w:p>
        </w:tc>
      </w:tr>
      <w:tr w14:paraId="7DD54D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36D91156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值类型</w:t>
            </w:r>
          </w:p>
        </w:tc>
        <w:tc>
          <w:tcPr>
            <w:tcW w:w="6624" w:type="dxa"/>
          </w:tcPr>
          <w:p w14:paraId="5A370D5D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非负整数（all == floor；min 0，max 1,003,757；负数 0，NA 0）</w:t>
            </w:r>
          </w:p>
        </w:tc>
      </w:tr>
      <w:tr w14:paraId="78F8E1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77589944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重复基因 id</w:t>
            </w:r>
          </w:p>
        </w:tc>
        <w:tc>
          <w:tcPr>
            <w:tcW w:w="6624" w:type="dxa"/>
          </w:tcPr>
          <w:p w14:paraId="7E654A43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</w:tr>
      <w:tr w14:paraId="1137BA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4A7981CC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重复样本 id</w:t>
            </w:r>
          </w:p>
        </w:tc>
        <w:tc>
          <w:tcPr>
            <w:tcW w:w="6624" w:type="dxa"/>
          </w:tcPr>
          <w:p w14:paraId="3BC06587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</w:tr>
      <w:tr w14:paraId="40C641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2BCF322D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全零基因</w:t>
            </w:r>
          </w:p>
        </w:tc>
        <w:tc>
          <w:tcPr>
            <w:tcW w:w="6624" w:type="dxa"/>
          </w:tcPr>
          <w:p w14:paraId="51DF5F9F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30,882 / 60,498</w:t>
            </w:r>
          </w:p>
        </w:tc>
      </w:tr>
      <w:tr w14:paraId="17CCD1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76D3B265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总分配 reads</w:t>
            </w:r>
          </w:p>
        </w:tc>
        <w:tc>
          <w:tcPr>
            <w:tcW w:w="6624" w:type="dxa"/>
          </w:tcPr>
          <w:p w14:paraId="14D8F669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181,420,544</w:t>
            </w:r>
          </w:p>
        </w:tc>
      </w:tr>
      <w:tr w14:paraId="043D47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20945173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样本对齐</w:t>
            </w:r>
          </w:p>
        </w:tc>
        <w:tc>
          <w:tcPr>
            <w:tcW w:w="6624" w:type="dxa"/>
          </w:tcPr>
          <w:p w14:paraId="5B0A2B4D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矩阵列名(BAM) 与元数据(GSM) 位置仅 2/20 一致 → 已显式重排；identical(colnames, gsm)=TRUE</w:t>
            </w:r>
          </w:p>
        </w:tc>
      </w:tr>
      <w:tr w14:paraId="54FBD4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44D1E71B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过滤规则</w:t>
            </w:r>
          </w:p>
        </w:tc>
        <w:tc>
          <w:tcPr>
            <w:tcW w:w="6624" w:type="dxa"/>
          </w:tcPr>
          <w:p w14:paraId="5B06D293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count ≥ 10 且出现在 ≥ 4 个样本</w:t>
            </w:r>
          </w:p>
        </w:tc>
      </w:tr>
      <w:tr w14:paraId="2D6F5B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7CAEE767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过滤前后基因数</w:t>
            </w:r>
          </w:p>
        </w:tc>
        <w:tc>
          <w:tcPr>
            <w:tcW w:w="6624" w:type="dxa"/>
          </w:tcPr>
          <w:p w14:paraId="1FDD0875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60,498 → 14,414（移除 46,084，占 76.2%）</w:t>
            </w:r>
          </w:p>
        </w:tc>
      </w:tr>
      <w:tr w14:paraId="1F7007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5EAA6A78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文库大小</w:t>
            </w:r>
          </w:p>
        </w:tc>
        <w:tc>
          <w:tcPr>
            <w:tcW w:w="6624" w:type="dxa"/>
          </w:tcPr>
          <w:p w14:paraId="25EB5600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7.06–10.61 M reads；max/min = 1.503×</w:t>
            </w:r>
          </w:p>
        </w:tc>
      </w:tr>
      <w:tr w14:paraId="60BADC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03611AC6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离群决定</w:t>
            </w:r>
          </w:p>
        </w:tc>
        <w:tc>
          <w:tcPr>
            <w:tcW w:w="6624" w:type="dxa"/>
          </w:tcPr>
          <w:p w14:paraId="5DFC1C5D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9"/>
              </w:rPr>
              <w:t>无样本因深度被剔除（均 &lt; 1.5×）</w:t>
            </w:r>
          </w:p>
        </w:tc>
      </w:tr>
    </w:tbl>
    <w:p w14:paraId="569E43F3">
      <w:r>
        <w:rPr>
          <w:rFonts w:ascii="Times New Roman" w:hAnsi="Times New Roman" w:eastAsia="宋体"/>
          <w:b w:val="0"/>
          <w:sz w:val="19"/>
        </w:rPr>
        <w:t>教学性对照：更宽松的「≥10 in ≥3 samples」保留 14,813 基因；设计感知的 edgeR::filterByExpr()可作下一步。规则与前后计数均已报告（讲义 2.8）。</w:t>
      </w:r>
    </w:p>
    <w:p w14:paraId="0D8CD7E1">
      <w:pPr>
        <w:pStyle w:val="3"/>
      </w:pPr>
      <w:r>
        <w:rPr>
          <w:rFonts w:ascii="Times New Roman" w:hAnsi="Times New Roman" w:eastAsia="黑体"/>
        </w:rPr>
        <w:t>五、质控图（QC figures）与解读</w:t>
      </w:r>
    </w:p>
    <w:p w14:paraId="02FB25D0">
      <w:r>
        <w:rPr>
          <w:rFonts w:ascii="Times New Roman" w:hAnsi="Times New Roman" w:eastAsia="宋体"/>
          <w:b w:val="0"/>
          <w:sz w:val="19"/>
        </w:rPr>
        <w:t>运行 03_qc.R 生成；PCA 基于 top-1000 变异基因 log2(CPM+1) 缩放后 prcomp。</w:t>
      </w:r>
    </w:p>
    <w:p w14:paraId="43D0F232">
      <w:pPr>
        <w:jc w:val="center"/>
      </w:pPr>
      <w:r>
        <w:drawing>
          <wp:inline distT="0" distB="0" distL="114300" distR="114300">
            <wp:extent cx="5669280" cy="3197860"/>
            <wp:effectExtent l="0" t="0" r="762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150B">
      <w:pPr>
        <w:jc w:val="center"/>
      </w:pPr>
      <w:r>
        <w:rPr>
          <w:rFonts w:ascii="Times New Roman" w:hAnsi="Times New Roman" w:eastAsia="宋体"/>
          <w:i/>
          <w:sz w:val="18"/>
        </w:rPr>
        <w:t>图 1 文库大小：20 个活检 7.06–10.61 M reads，max/min=1.50×，无样本因测序深度判为失败。</w:t>
      </w:r>
    </w:p>
    <w:p w14:paraId="7F414230">
      <w:pPr>
        <w:jc w:val="center"/>
      </w:pPr>
      <w:r>
        <w:drawing>
          <wp:inline distT="0" distB="0" distL="114300" distR="114300">
            <wp:extent cx="5669280" cy="3197860"/>
            <wp:effectExtent l="0" t="0" r="762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9E1B">
      <w:pPr>
        <w:jc w:val="center"/>
      </w:pPr>
      <w:r>
        <w:rPr>
          <w:rFonts w:ascii="Times New Roman" w:hAnsi="Times New Roman" w:eastAsia="宋体"/>
          <w:i/>
          <w:sz w:val="18"/>
        </w:rPr>
        <w:t>图 2 每样本表达分布（log2(CPM+1)）：各组密度形状一致，无异常样本。</w:t>
      </w:r>
    </w:p>
    <w:p w14:paraId="2F5B2B45">
      <w:pPr>
        <w:jc w:val="center"/>
      </w:pPr>
      <w:r>
        <w:drawing>
          <wp:inline distT="0" distB="0" distL="114300" distR="114300">
            <wp:extent cx="5669280" cy="3197860"/>
            <wp:effectExtent l="0" t="0" r="762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EA1E">
      <w:pPr>
        <w:jc w:val="center"/>
      </w:pPr>
      <w:r>
        <w:rPr>
          <w:rFonts w:ascii="Times New Roman" w:hAnsi="Times New Roman" w:eastAsia="宋体"/>
          <w:i/>
          <w:sz w:val="18"/>
        </w:rPr>
        <w:t>图 3 每样本 log2(CPM+1) 箱线：中位数与四分位范围一致，无明显异常。</w:t>
      </w:r>
    </w:p>
    <w:p w14:paraId="078345B4">
      <w:r>
        <w:rPr>
          <w:rFonts w:ascii="Times New Roman" w:hAnsi="Times New Roman" w:eastAsia="宋体"/>
          <w:b/>
          <w:sz w:val="21"/>
        </w:rPr>
        <w:t>图 4 PCA（核心证据）：</w:t>
      </w:r>
    </w:p>
    <w:p w14:paraId="5B64A2E6">
      <w:pPr>
        <w:jc w:val="center"/>
      </w:pPr>
      <w:r>
        <w:drawing>
          <wp:inline distT="0" distB="0" distL="114300" distR="114300">
            <wp:extent cx="5486400" cy="37534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1662">
      <w:pPr>
        <w:jc w:val="center"/>
      </w:pPr>
      <w:r>
        <w:rPr>
          <w:rFonts w:ascii="Times New Roman" w:hAnsi="Times New Roman" w:eastAsia="宋体"/>
          <w:i/>
          <w:sz w:val="18"/>
        </w:rPr>
        <w:t>图 4a 按条件（IRI± / pre-post）着色：PC1 解释 37.6%、PC2 16.1%、PC3 10.5%。</w:t>
      </w:r>
    </w:p>
    <w:p w14:paraId="6C733348">
      <w:pPr>
        <w:jc w:val="center"/>
      </w:pPr>
      <w:r>
        <w:drawing>
          <wp:inline distT="0" distB="0" distL="114300" distR="114300">
            <wp:extent cx="5852160" cy="3901440"/>
            <wp:effectExtent l="0" t="0" r="254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9E44">
      <w:pPr>
        <w:jc w:val="center"/>
      </w:pPr>
      <w:r>
        <w:rPr>
          <w:rFonts w:ascii="Times New Roman" w:hAnsi="Times New Roman" w:eastAsia="宋体"/>
          <w:i/>
          <w:sz w:val="18"/>
        </w:rPr>
        <w:t>图 4b 按受体着色，箭头 = 同一受体 pre→post：每对样本紧密相邻且箭头连贯 → 配对结构真实。</w:t>
      </w:r>
    </w:p>
    <w:p w14:paraId="40D83844">
      <w:pPr>
        <w:jc w:val="center"/>
      </w:pPr>
      <w:r>
        <w:drawing>
          <wp:inline distT="0" distB="0" distL="114300" distR="114300">
            <wp:extent cx="5120640" cy="3145155"/>
            <wp:effectExtent l="0" t="0" r="1016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4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37EB">
      <w:pPr>
        <w:jc w:val="center"/>
      </w:pPr>
      <w:r>
        <w:rPr>
          <w:rFonts w:ascii="Times New Roman" w:hAnsi="Times New Roman" w:eastAsia="宋体"/>
          <w:i/>
          <w:sz w:val="18"/>
        </w:rPr>
        <w:t>图 4c 各受体沿 PC2 的再灌注位移：10/10 对同向移动 → 再灌注（stage）是主导轴（PC2 与 stage 的 spearman ρ=0.78）。</w:t>
      </w:r>
    </w:p>
    <w:p w14:paraId="13189A47">
      <w:r>
        <w:rPr>
          <w:rFonts w:ascii="Times New Roman" w:hAnsi="Times New Roman" w:eastAsia="宋体"/>
          <w:b/>
          <w:sz w:val="21"/>
        </w:rPr>
        <w:t>两句话解读：PCA 显示 10 名受体的 pre/post 活检在 PC2 上高度一致地同向移动（10/10 对、受体内 RMS 0.73 &lt; 受体间 RMS 0.94），证实该数据是真实配对设计、再灌注是最强信号；因此后续分析必须保留 subject 配对并以具体对比（如 post vs pre）为前提，而不能把 20 列当作独立样本直接比较。</w:t>
      </w:r>
    </w:p>
    <w:p w14:paraId="619A35E4">
      <w:pPr>
        <w:pStyle w:val="3"/>
      </w:pPr>
      <w:r>
        <w:rPr>
          <w:rFonts w:ascii="Times New Roman" w:hAnsi="Times New Roman" w:eastAsia="黑体"/>
        </w:rPr>
        <w:t>六、AI / Agent 验证日志（摘要）</w:t>
      </w:r>
    </w:p>
    <w:p w14:paraId="23AEF6C8">
      <w:pPr>
        <w:pStyle w:val="16"/>
      </w:pPr>
      <w:r>
        <w:rPr>
          <w:rFonts w:ascii="Times New Roman" w:hAnsi="Times New Roman" w:eastAsia="宋体"/>
        </w:rPr>
        <w:t>Plan-first：写代码前先复述问题、定仓库与数据层、列待核验 accession，再动手（讲义 2.12）。</w:t>
      </w:r>
    </w:p>
    <w:p w14:paraId="54EEF414">
      <w:pPr>
        <w:pStyle w:val="16"/>
      </w:pPr>
      <w:r>
        <w:rPr>
          <w:rFonts w:ascii="Times New Roman" w:hAnsi="Times New Roman" w:eastAsia="宋体"/>
        </w:rPr>
        <w:t>采纳：用 supplementary count 矩阵而非 Series Matrix；矩阵列名(BAM)须显式重排到 GSM；先做 5 项完整性检查；保留配对。</w:t>
      </w:r>
    </w:p>
    <w:p w14:paraId="5832FCA1">
      <w:pPr>
        <w:pStyle w:val="16"/>
      </w:pPr>
      <w:r>
        <w:rPr>
          <w:rFonts w:ascii="Times New Roman" w:hAnsi="Times New Roman" w:eastAsia="宋体"/>
        </w:rPr>
        <w:t>拒绝：把 20 列当独立样本、对 count 再 log2 后喂 DESeq2、下载第一个 .txt 不看描述。</w:t>
      </w:r>
    </w:p>
    <w:p w14:paraId="45C36C18">
      <w:pPr>
        <w:pStyle w:val="16"/>
      </w:pPr>
      <w:r>
        <w:rPr>
          <w:rFonts w:ascii="Times New Roman" w:hAnsi="Times New Roman" w:eastAsia="宋体"/>
        </w:rPr>
        <w:t>修正：本机 R 4.5.1 无 Rtools、CRAN 无 GEOquery 二进制 → 用 utils::download.file 从同一 GEO FTP 抓相同文件（非编造数据）。</w:t>
      </w:r>
    </w:p>
    <w:p w14:paraId="46486242">
      <w:pPr>
        <w:pStyle w:val="3"/>
      </w:pPr>
      <w:bookmarkStart w:id="0" w:name="_GoBack"/>
      <w:bookmarkEnd w:id="0"/>
      <w:r>
        <w:rPr>
          <w:rFonts w:ascii="Times New Roman" w:hAnsi="Times New Roman" w:eastAsia="黑体"/>
        </w:rPr>
        <w:t>七、反思</w:t>
      </w:r>
    </w:p>
    <w:p w14:paraId="3EF83F10">
      <w:r>
        <w:rPr>
          <w:rFonts w:ascii="Times New Roman" w:hAnsi="Times New Roman" w:eastAsia="宋体"/>
          <w:b w:val="0"/>
          <w:sz w:val="21"/>
        </w:rPr>
        <w:t>最大局限：样本量小（10 名配对受体，IRI 两组各 5 名），任何差异检验统计功效有限，结论需独立队列验证。该数据集可支持的 claim：肝移植物再灌注前后存在全局、连贯的转录组重编程（PCA 中 10/10 对同向位移），且这是配对而非独立结构。下一步分析：用配对设计（~ subject）跑 DESeq2/edgeR 的 post-vs-pre 对比，或 IRI+ vs IRI- 在 post 时点的对比，并对关键基因做 qPCR / 独立队列验证。</w:t>
      </w:r>
    </w:p>
    <w:p w14:paraId="1F289451">
      <w:pPr>
        <w:pStyle w:val="3"/>
      </w:pPr>
      <w:r>
        <w:rPr>
          <w:rFonts w:ascii="Times New Roman" w:hAnsi="Times New Roman" w:eastAsia="黑体"/>
        </w:rPr>
        <w:t>八、可复现说明（Reproducibility）</w:t>
      </w:r>
    </w:p>
    <w:p w14:paraId="2BDD4EA8">
      <w:pPr>
        <w:pStyle w:val="16"/>
      </w:pPr>
      <w:r>
        <w:rPr>
          <w:rFonts w:ascii="Times New Roman" w:hAnsi="Times New Roman" w:eastAsia="宋体"/>
        </w:rPr>
        <w:t>目录：data_raw/（只读原始）｜ metadata/ ｜ scripts/(00–03) ｜ data_processed/ ｜ figures/ ｜ logs/</w:t>
      </w:r>
    </w:p>
    <w:p w14:paraId="2D536B05">
      <w:pPr>
        <w:pStyle w:val="16"/>
      </w:pPr>
      <w:r>
        <w:rPr>
          <w:rFonts w:ascii="Times New Roman" w:hAnsi="Times New Roman" w:eastAsia="宋体"/>
        </w:rPr>
        <w:t>脚本：week3_homework.R = source(01_fetch → 02_clean → 03_qc)；从项目根目录 Rscript week3_homework.R 即可复现</w:t>
      </w:r>
    </w:p>
    <w:p w14:paraId="620FF967">
      <w:pPr>
        <w:pStyle w:val="16"/>
      </w:pPr>
      <w:r>
        <w:rPr>
          <w:rFonts w:ascii="Times New Roman" w:hAnsi="Times New Roman" w:eastAsia="宋体"/>
        </w:rPr>
        <w:t>环境：R 4.5.1；edgeR 4.8.2、limma 3.66.0、ggplot2 4.0.3、ggrepel（见 logs/session_info.txt）</w:t>
      </w:r>
    </w:p>
    <w:p w14:paraId="79D1C8E8">
      <w:pPr>
        <w:pStyle w:val="16"/>
      </w:pPr>
      <w:r>
        <w:rPr>
          <w:rFonts w:ascii="Times New Roman" w:hAnsi="Times New Roman" w:eastAsia="宋体"/>
        </w:rPr>
        <w:t>原始文件 md5 见 logs/manifest.tsv；清洗前后基因数见 cleaning_summary.tsv</w:t>
      </w:r>
    </w:p>
    <w:p w14:paraId="53751F00">
      <w:pPr>
        <w:pStyle w:val="16"/>
        <w:numPr>
          <w:numId w:val="0"/>
        </w:numPr>
        <w:ind w:leftChars="0"/>
        <w:rPr>
          <w:rFonts w:hint="default" w:ascii="Times New Roman" w:hAnsi="Times New Roman" w:eastAsia="宋体"/>
          <w:color w:val="0000FF"/>
          <w:sz w:val="28"/>
          <w:szCs w:val="28"/>
          <w:lang w:val="en-US" w:eastAsia="zh-CN"/>
        </w:rPr>
      </w:pPr>
    </w:p>
    <w:p w14:paraId="788877F3">
      <w:pPr>
        <w:pStyle w:val="3"/>
        <w:numPr>
          <w:ilvl w:val="0"/>
          <w:numId w:val="7"/>
        </w:numPr>
        <w:rPr>
          <w:rFonts w:hint="eastAsia" w:ascii="Times New Roman" w:hAnsi="Times New Roman" w:eastAsia="黑体"/>
          <w:lang w:val="en-US" w:eastAsia="zh-CN"/>
        </w:rPr>
      </w:pPr>
      <w:r>
        <w:rPr>
          <w:rFonts w:hint="eastAsia" w:ascii="Times New Roman" w:hAnsi="Times New Roman" w:eastAsia="黑体"/>
          <w:lang w:val="en-US" w:eastAsia="zh-CN"/>
        </w:rPr>
        <w:t>附录</w:t>
      </w:r>
    </w:p>
    <w:p w14:paraId="203828AE">
      <w:pPr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附R程序内容</w:t>
      </w:r>
    </w:p>
    <w:p w14:paraId="34DE102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3225" cy="3571240"/>
            <wp:effectExtent l="0" t="0" r="3175" b="10160"/>
            <wp:docPr id="7" name="图片 7" descr="0e78faef-0b67-4cb6-a498-1e3603175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e78faef-0b67-4cb6-a498-1e360317573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C041">
      <w:pPr>
        <w:numPr>
          <w:ilvl w:val="0"/>
          <w:numId w:val="8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附清洗摘要表原表</w:t>
      </w:r>
    </w:p>
    <w:p w14:paraId="452CB83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481955" cy="1469390"/>
            <wp:effectExtent l="0" t="0" r="4445" b="3810"/>
            <wp:docPr id="8" name="图片 8" descr="5603120c-cd57-4543-86ab-95e70e3d3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5603120c-cd57-4543-86ab-95e70e3d313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A41AF">
      <w:pPr>
        <w:numPr>
          <w:ilvl w:val="0"/>
          <w:numId w:val="8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附AI核查日志原文档截图</w:t>
      </w:r>
    </w:p>
    <w:p w14:paraId="09895C6C">
      <w:pPr>
        <w:numPr>
          <w:numId w:val="0"/>
        </w:numPr>
        <w:ind w:leftChars="0"/>
        <w:rPr>
          <w:rFonts w:hint="default" w:ascii="Times New Roman" w:hAnsi="Times New Roman" w:eastAsia="宋体"/>
          <w:b/>
          <w:bCs/>
          <w:color w:val="0000FF"/>
          <w:sz w:val="28"/>
          <w:szCs w:val="28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31155" cy="8225790"/>
            <wp:effectExtent l="0" t="0" r="4445" b="3810"/>
            <wp:docPr id="9" name="图片 9" descr="fb95ea0a-9d92-46b8-8055-f8cb884b8a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fb95ea0a-9d92-46b8-8055-f8cb884b8a3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1155" cy="822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78F799"/>
    <w:multiLevelType w:val="singleLevel"/>
    <w:tmpl w:val="9F78F799"/>
    <w:lvl w:ilvl="0" w:tentative="0">
      <w:start w:val="9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E6CB3BF"/>
    <w:multiLevelType w:val="singleLevel"/>
    <w:tmpl w:val="DE6CB3B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B7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1865</Words>
  <Characters>3773</Characters>
  <Lines>1</Lines>
  <Paragraphs>1</Paragraphs>
  <TotalTime>9</TotalTime>
  <ScaleCrop>false</ScaleCrop>
  <LinksUpToDate>false</LinksUpToDate>
  <CharactersWithSpaces>4195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JYLH</cp:lastModifiedBy>
  <dcterms:modified xsi:type="dcterms:W3CDTF">2026-09-13T09:50:15Z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eyJoZGlkIjoiNjNlNWZkOWNlYzZlYmQwNDBjYzNmOWEwZjYxZGZjNjciLCJ1c2VySWQiOiI3NDY4NzU1MTMifQ==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6F4E406198554370B07F8FB8E099F3C5_12</vt:lpwstr>
  </property>
</Properties>
</file>