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0517C">
      <w:pPr>
        <w:pStyle w:val="6"/>
        <w:keepNext/>
        <w:keepLines/>
        <w:rPr>
          <w:kern w:val="44"/>
          <w:sz w:val="44"/>
          <w:szCs w:val="44"/>
        </w:rPr>
      </w:pPr>
      <w:r>
        <w:rPr>
          <w:rFonts w:hint="eastAsia"/>
        </w:rPr>
        <w:t>生物信息学：从多组学数据到发现</w:t>
      </w:r>
    </w:p>
    <w:p w14:paraId="137AA0FF">
      <w:pPr>
        <w:pStyle w:val="5"/>
        <w:keepNext/>
        <w:keepLines/>
        <w:rPr>
          <w:rFonts w:hint="eastAsia"/>
        </w:rPr>
      </w:pPr>
      <w:r>
        <w:rPr>
          <w:rFonts w:hint="eastAsia"/>
        </w:rPr>
        <w:t>第 2 周作业 — 科学问题构建与 AI 辅助文献挖掘</w:t>
      </w:r>
    </w:p>
    <w:p w14:paraId="0657C575">
      <w:pPr>
        <w:pStyle w:val="3"/>
        <w:keepNext/>
        <w:keepLines/>
        <w:rPr>
          <w:sz w:val="32"/>
          <w:szCs w:val="32"/>
        </w:rPr>
      </w:pPr>
      <w:r>
        <w:rPr>
          <w:rFonts w:hint="eastAsia"/>
        </w:rPr>
        <w:t>1. 问题构建漏斗（六个层级）</w:t>
      </w:r>
    </w:p>
    <w:tbl>
      <w:tblPr>
        <w:tblStyle w:val="7"/>
        <w:tblW w:w="8306" w:type="dxa"/>
        <w:jc w:val="center"/>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Layout w:type="autofit"/>
        <w:tblCellMar>
          <w:top w:w="60" w:type="dxa"/>
          <w:left w:w="90" w:type="dxa"/>
          <w:bottom w:w="60" w:type="dxa"/>
          <w:right w:w="90" w:type="dxa"/>
        </w:tblCellMar>
      </w:tblPr>
      <w:tblGrid>
        <w:gridCol w:w="1993"/>
        <w:gridCol w:w="6313"/>
      </w:tblGrid>
      <w:tr w14:paraId="5A3D6784">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tblHeader/>
          <w:jc w:val="center"/>
        </w:trPr>
        <w:tc>
          <w:tcPr>
            <w:tcW w:w="1993" w:type="dxa"/>
            <w:shd w:val="clear" w:color="auto" w:fill="DCE6F1"/>
            <w:vAlign w:val="center"/>
          </w:tcPr>
          <w:p w14:paraId="3A87F5AA">
            <w:pPr>
              <w:jc w:val="left"/>
              <w:rPr>
                <w:b/>
                <w:bCs/>
              </w:rPr>
            </w:pPr>
            <w:r>
              <w:rPr>
                <w:rFonts w:hint="eastAsia"/>
                <w:b/>
              </w:rPr>
              <w:t>层级</w:t>
            </w:r>
          </w:p>
        </w:tc>
        <w:tc>
          <w:tcPr>
            <w:tcW w:w="6313" w:type="dxa"/>
            <w:shd w:val="clear" w:color="auto" w:fill="DCE6F1"/>
            <w:vAlign w:val="center"/>
          </w:tcPr>
          <w:p w14:paraId="6CF7959B">
            <w:pPr>
              <w:jc w:val="left"/>
              <w:rPr>
                <w:b/>
                <w:bCs/>
              </w:rPr>
            </w:pPr>
            <w:r>
              <w:rPr>
                <w:rFonts w:hint="eastAsia"/>
                <w:b/>
              </w:rPr>
              <w:t>我的输出</w:t>
            </w:r>
          </w:p>
        </w:tc>
      </w:tr>
      <w:tr w14:paraId="72D89A9C">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5ACEF5C9">
            <w:r>
              <w:rPr>
                <w:rFonts w:hint="eastAsia"/>
              </w:rPr>
              <w:t>1. 宽泛领域</w:t>
            </w:r>
          </w:p>
        </w:tc>
        <w:tc>
          <w:tcPr>
            <w:tcW w:w="6313" w:type="dxa"/>
            <w:vAlign w:val="center"/>
          </w:tcPr>
          <w:p w14:paraId="2B30BB35">
            <w:r>
              <w:rPr>
                <w:rFonts w:hint="eastAsia"/>
              </w:rPr>
              <w:t>肿瘤免疫学；肿瘤—免疫互作。</w:t>
            </w:r>
          </w:p>
        </w:tc>
      </w:tr>
      <w:tr w14:paraId="5E9B1FAF">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30E844D7">
            <w:r>
              <w:rPr>
                <w:rFonts w:hint="eastAsia"/>
                <w:lang w:val="en-US" w:eastAsia="zh-CN"/>
              </w:rPr>
              <w:t>2</w:t>
            </w:r>
            <w:r>
              <w:rPr>
                <w:rFonts w:hint="eastAsia"/>
              </w:rPr>
              <w:t>. 具体现象</w:t>
            </w:r>
          </w:p>
        </w:tc>
        <w:tc>
          <w:tcPr>
            <w:tcW w:w="6313" w:type="dxa"/>
            <w:vAlign w:val="center"/>
          </w:tcPr>
          <w:p w14:paraId="04EE06EA">
            <w:r>
              <w:rPr>
                <w:rFonts w:hint="eastAsia"/>
              </w:rPr>
              <w:t>接受同一套 PD-1/PD-L1 方案的患者应答差异极大。CD8⁺T 细胞耗竭与免疫抑制性的髓系/基质微环境被反复观察到，但究竟是哪些细胞状态真正决定应答，目前尚无定论。</w:t>
            </w:r>
          </w:p>
        </w:tc>
      </w:tr>
      <w:tr w14:paraId="4C02E68F">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13CE6871">
            <w:r>
              <w:rPr>
                <w:rFonts w:hint="eastAsia"/>
                <w:lang w:val="en-US" w:eastAsia="zh-CN"/>
              </w:rPr>
              <w:t>3</w:t>
            </w:r>
            <w:r>
              <w:rPr>
                <w:rFonts w:hint="eastAsia"/>
              </w:rPr>
              <w:t>. 可检验假设</w:t>
            </w:r>
          </w:p>
        </w:tc>
        <w:tc>
          <w:tcPr>
            <w:tcW w:w="6313" w:type="dxa"/>
            <w:vAlign w:val="center"/>
          </w:tcPr>
          <w:p w14:paraId="511D8854">
            <w:r>
              <w:rPr>
                <w:rFonts w:hint="eastAsia"/>
              </w:rPr>
              <w:t>在接受 PD-1 阻断治疗的非小细胞肺癌（NSCLC）中，由单细胞 RNA/TCR 测序解析出的 TIME 组成可将患者分为病理缓解率不同的亚型；并且是</w:t>
            </w:r>
            <w:r>
              <w:rPr>
                <w:rFonts w:hint="eastAsia"/>
                <w:b/>
              </w:rPr>
              <w:t>前体耗竭</w:t>
            </w:r>
            <w:r>
              <w:rPr>
                <w:rFonts w:hint="eastAsia"/>
              </w:rPr>
              <w:t xml:space="preserve"> CD8⁺T 细胞（Texp）而非终末耗竭细胞，与无复发生存期相关。</w:t>
            </w:r>
          </w:p>
        </w:tc>
      </w:tr>
      <w:tr w14:paraId="0DF12F27">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17DFDA61">
            <w:pPr>
              <w:rPr>
                <w:rFonts w:hint="default" w:eastAsia="宋体"/>
                <w:lang w:val="en-US" w:eastAsia="zh-CN"/>
              </w:rPr>
            </w:pPr>
            <w:r>
              <w:rPr>
                <w:rFonts w:hint="eastAsia"/>
                <w:lang w:val="en-US" w:eastAsia="zh-CN"/>
              </w:rPr>
              <w:t>4</w:t>
            </w:r>
            <w:r>
              <w:rPr>
                <w:rFonts w:hint="eastAsia"/>
              </w:rPr>
              <w:t xml:space="preserve">. </w:t>
            </w:r>
            <w:r>
              <w:rPr>
                <w:rFonts w:hint="eastAsia"/>
                <w:lang w:val="en-US" w:eastAsia="zh-CN"/>
              </w:rPr>
              <w:t>应用PICO/PECO</w:t>
            </w:r>
          </w:p>
        </w:tc>
        <w:tc>
          <w:tcPr>
            <w:tcW w:w="6313" w:type="dxa"/>
            <w:vAlign w:val="center"/>
          </w:tcPr>
          <w:p w14:paraId="1DAF6687">
            <w:pPr>
              <w:rPr>
                <w:rFonts w:hint="default" w:eastAsia="宋体"/>
                <w:lang w:val="en-US" w:eastAsia="zh-CN"/>
              </w:rPr>
            </w:pPr>
            <w:r>
              <w:rPr>
                <w:rFonts w:hint="eastAsia"/>
                <w:lang w:val="en-US" w:eastAsia="zh-CN"/>
              </w:rPr>
              <w:t>如下图</w:t>
            </w:r>
          </w:p>
        </w:tc>
      </w:tr>
      <w:tr w14:paraId="3EACF3FD">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59AF9426">
            <w:r>
              <w:rPr>
                <w:rFonts w:ascii="Segoe UI" w:hAnsi="Segoe UI" w:eastAsia="Segoe UI" w:cs="Segoe UI"/>
                <w:i w:val="0"/>
                <w:iCs w:val="0"/>
                <w:caps w:val="0"/>
                <w:color w:val="000000"/>
                <w:spacing w:val="0"/>
                <w:sz w:val="22"/>
                <w:szCs w:val="22"/>
                <w:shd w:val="clear" w:fill="FFFFFF"/>
              </w:rPr>
              <w:t>5 确定数据集或数据类型</w:t>
            </w:r>
          </w:p>
        </w:tc>
        <w:tc>
          <w:tcPr>
            <w:tcW w:w="6313" w:type="dxa"/>
            <w:vAlign w:val="center"/>
          </w:tcPr>
          <w:p w14:paraId="4E3D054F">
            <w:r>
              <w:rPr>
                <w:rFonts w:ascii="Segoe UI" w:hAnsi="Segoe UI" w:eastAsia="Segoe UI" w:cs="Segoe UI"/>
                <w:i w:val="0"/>
                <w:iCs w:val="0"/>
                <w:caps w:val="0"/>
                <w:color w:val="000000"/>
                <w:spacing w:val="0"/>
                <w:sz w:val="22"/>
                <w:szCs w:val="22"/>
                <w:shd w:val="clear" w:fill="FFFFFF"/>
              </w:rPr>
              <w:t>带抗 PD-(L)1 应答注释的公开 NSCLC scRNA/TCR-seq 队列；检索 GEO、SRA/ENA、ArrayExpress、Broad Single Cell Portal、CNCB/NMDC、TISCH2</w:t>
            </w:r>
          </w:p>
        </w:tc>
      </w:tr>
      <w:tr w14:paraId="4B93B2A8">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34E3C38B">
            <w:pPr>
              <w:rPr>
                <w:rFonts w:ascii="Segoe UI" w:hAnsi="Segoe UI" w:eastAsia="Segoe UI" w:cs="Segoe UI"/>
                <w:i w:val="0"/>
                <w:iCs w:val="0"/>
                <w:caps w:val="0"/>
                <w:color w:val="000000"/>
                <w:spacing w:val="0"/>
                <w:sz w:val="22"/>
                <w:szCs w:val="22"/>
                <w:shd w:val="clear" w:fill="FFFFFF"/>
              </w:rPr>
            </w:pPr>
            <w:r>
              <w:rPr>
                <w:rFonts w:ascii="Segoe UI" w:hAnsi="Segoe UI" w:eastAsia="Segoe UI" w:cs="Segoe UI"/>
                <w:i w:val="0"/>
                <w:iCs w:val="0"/>
                <w:caps w:val="0"/>
                <w:color w:val="000000"/>
                <w:spacing w:val="0"/>
                <w:sz w:val="22"/>
                <w:szCs w:val="22"/>
                <w:shd w:val="clear" w:fill="FFFFFF"/>
              </w:rPr>
              <w:t>6 起草最小分析计划</w:t>
            </w:r>
          </w:p>
        </w:tc>
        <w:tc>
          <w:tcPr>
            <w:tcW w:w="6313" w:type="dxa"/>
            <w:vAlign w:val="center"/>
          </w:tcPr>
          <w:p w14:paraId="48774B83">
            <w:pPr>
              <w:rPr>
                <w:rFonts w:ascii="Segoe UI" w:hAnsi="Segoe UI" w:eastAsia="Segoe UI" w:cs="Segoe UI"/>
                <w:i w:val="0"/>
                <w:iCs w:val="0"/>
                <w:caps w:val="0"/>
                <w:color w:val="000000"/>
                <w:spacing w:val="0"/>
                <w:sz w:val="22"/>
                <w:szCs w:val="22"/>
                <w:shd w:val="clear" w:fill="FFFFFF"/>
              </w:rPr>
            </w:pPr>
            <w:r>
              <w:rPr>
                <w:rFonts w:ascii="Segoe UI" w:hAnsi="Segoe UI" w:eastAsia="Segoe UI" w:cs="Segoe UI"/>
                <w:i w:val="0"/>
                <w:iCs w:val="0"/>
                <w:caps w:val="0"/>
                <w:color w:val="000000"/>
                <w:spacing w:val="0"/>
                <w:sz w:val="22"/>
                <w:szCs w:val="22"/>
                <w:shd w:val="clear" w:fill="FFFFFF"/>
              </w:rPr>
              <w:t>数据 / 方法（Harmony 整合 → 细胞注释 → Tex/Texp 模块评分 → scCODA/propeller → Cox 回归）/ 输出（UMAP、堆叠柱状图、箱线图、KM 曲线）/ 验证（独立队列 + 敏感性分析）</w:t>
            </w:r>
          </w:p>
        </w:tc>
      </w:tr>
    </w:tbl>
    <w:p w14:paraId="52EFDDD6"/>
    <w:p w14:paraId="275D96C6"/>
    <w:p w14:paraId="35A8A7CF">
      <w:pPr>
        <w:pStyle w:val="3"/>
        <w:keepNext/>
        <w:keepLines/>
        <w:rPr>
          <w:sz w:val="32"/>
          <w:szCs w:val="32"/>
        </w:rPr>
      </w:pPr>
      <w:r>
        <w:rPr>
          <w:rFonts w:hint="eastAsia"/>
        </w:rPr>
        <w:t>我的问题对应的 PECO</w:t>
      </w:r>
    </w:p>
    <w:tbl>
      <w:tblPr>
        <w:tblStyle w:val="7"/>
        <w:tblW w:w="8306" w:type="dxa"/>
        <w:jc w:val="center"/>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Layout w:type="autofit"/>
        <w:tblCellMar>
          <w:top w:w="60" w:type="dxa"/>
          <w:left w:w="90" w:type="dxa"/>
          <w:bottom w:w="60" w:type="dxa"/>
          <w:right w:w="90" w:type="dxa"/>
        </w:tblCellMar>
      </w:tblPr>
      <w:tblGrid>
        <w:gridCol w:w="1993"/>
        <w:gridCol w:w="6313"/>
      </w:tblGrid>
      <w:tr w14:paraId="1514427F">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tblHeader/>
          <w:jc w:val="center"/>
        </w:trPr>
        <w:tc>
          <w:tcPr>
            <w:tcW w:w="1993" w:type="dxa"/>
            <w:shd w:val="clear" w:color="auto" w:fill="DCE6F1"/>
            <w:vAlign w:val="center"/>
          </w:tcPr>
          <w:p w14:paraId="6339F57B">
            <w:pPr>
              <w:jc w:val="left"/>
              <w:rPr>
                <w:b/>
                <w:bCs/>
              </w:rPr>
            </w:pPr>
            <w:r>
              <w:rPr>
                <w:rFonts w:hint="eastAsia"/>
                <w:b/>
              </w:rPr>
              <w:t>PECO 要素</w:t>
            </w:r>
          </w:p>
        </w:tc>
        <w:tc>
          <w:tcPr>
            <w:tcW w:w="6313" w:type="dxa"/>
            <w:shd w:val="clear" w:color="auto" w:fill="DCE6F1"/>
            <w:vAlign w:val="center"/>
          </w:tcPr>
          <w:p w14:paraId="259943F1">
            <w:pPr>
              <w:jc w:val="left"/>
              <w:rPr>
                <w:b/>
                <w:bCs/>
              </w:rPr>
            </w:pPr>
            <w:r>
              <w:rPr>
                <w:rFonts w:hint="eastAsia"/>
                <w:b/>
              </w:rPr>
              <w:t>界定</w:t>
            </w:r>
          </w:p>
        </w:tc>
      </w:tr>
      <w:tr w14:paraId="77C884D3">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5199FFC1">
            <w:r>
              <w:rPr>
                <w:rFonts w:hint="eastAsia"/>
                <w:b/>
              </w:rPr>
              <w:t>人群（P）</w:t>
            </w:r>
          </w:p>
        </w:tc>
        <w:tc>
          <w:tcPr>
            <w:tcW w:w="6313" w:type="dxa"/>
            <w:vAlign w:val="center"/>
          </w:tcPr>
          <w:p w14:paraId="74DB5FAC">
            <w:r>
              <w:rPr>
                <w:rFonts w:hint="eastAsia"/>
              </w:rPr>
              <w:t>接受新辅助抗 PD-(L)1 ± 化疗、并且肿瘤组织做过 scRNA-seq（理想情况下配对 scRNA + TCR-seq）的可切除 NSCLC 患者。</w:t>
            </w:r>
          </w:p>
        </w:tc>
      </w:tr>
      <w:tr w14:paraId="4A6F3775">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7F9E69BC">
            <w:r>
              <w:rPr>
                <w:rFonts w:hint="eastAsia"/>
                <w:b/>
              </w:rPr>
              <w:t>暴露（E）</w:t>
            </w:r>
          </w:p>
        </w:tc>
        <w:tc>
          <w:tcPr>
            <w:tcW w:w="6313" w:type="dxa"/>
            <w:vAlign w:val="center"/>
          </w:tcPr>
          <w:p w14:paraId="074CCD41">
            <w:r>
              <w:rPr>
                <w:rFonts w:hint="eastAsia"/>
              </w:rPr>
              <w:t>TIME 的细胞状态组成：Texp（前体耗竭 CD8⁺ T）细胞、FGFBP2⁺ NK / NK 样 T 细胞、记忆 B 细胞、效应 T 细胞、CCR8⁺ 调节性 T 细胞的丰度；以及 T 细胞克隆扩增的格局。</w:t>
            </w:r>
          </w:p>
        </w:tc>
      </w:tr>
      <w:tr w14:paraId="18A77007">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61717DD4">
            <w:r>
              <w:rPr>
                <w:rFonts w:hint="eastAsia"/>
                <w:b/>
              </w:rPr>
              <w:t>比较（C）</w:t>
            </w:r>
          </w:p>
        </w:tc>
        <w:tc>
          <w:tcPr>
            <w:tcW w:w="6313" w:type="dxa"/>
            <w:vAlign w:val="center"/>
          </w:tcPr>
          <w:p w14:paraId="4C4513D5">
            <w:r>
              <w:rPr>
                <w:rFonts w:hint="eastAsia"/>
              </w:rPr>
              <w:t>MPR vs. 非 MPR；Texp 高 vs. Texp 低（队列内按中位数或上四分位分组）；随访期内复发 vs. 未复发。</w:t>
            </w:r>
          </w:p>
        </w:tc>
      </w:tr>
      <w:tr w14:paraId="249A0A00">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6CC9B0E2">
            <w:r>
              <w:rPr>
                <w:rFonts w:hint="eastAsia"/>
                <w:b/>
              </w:rPr>
              <w:t>结局（O）</w:t>
            </w:r>
          </w:p>
        </w:tc>
        <w:tc>
          <w:tcPr>
            <w:tcW w:w="6313" w:type="dxa"/>
            <w:vAlign w:val="center"/>
          </w:tcPr>
          <w:p w14:paraId="25817F56">
            <w:r>
              <w:rPr>
                <w:rFonts w:hint="eastAsia"/>
              </w:rPr>
              <w:t>主要病理缓解（MPR）；无复发生存期（RFS）；在没有 MPR 数据的情况下用客观缓解率（ORR）。</w:t>
            </w:r>
          </w:p>
        </w:tc>
      </w:tr>
      <w:tr w14:paraId="73AA37E0">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1B7ED4A9">
            <w:r>
              <w:rPr>
                <w:rFonts w:hint="eastAsia"/>
                <w:b/>
              </w:rPr>
              <w:t>关键协变量</w:t>
            </w:r>
          </w:p>
        </w:tc>
        <w:tc>
          <w:tcPr>
            <w:tcW w:w="6313" w:type="dxa"/>
            <w:vAlign w:val="center"/>
          </w:tcPr>
          <w:p w14:paraId="3346E759">
            <w:r>
              <w:rPr>
                <w:rFonts w:hint="eastAsia"/>
              </w:rPr>
              <w:t>年龄、性别、吸烟状态、肿瘤分期、组织学类型（腺癌 vs. 鳞癌）、PD-L1 肿瘤比例评分（TPS）、新辅助方案（单纯 ICI vs. 化疗 + ICI）、测序平台与化学版本、批次、每样本捕获细胞数、测序深度。</w:t>
            </w:r>
          </w:p>
        </w:tc>
      </w:tr>
      <w:tr w14:paraId="40ED9AE2">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5D7E1759">
            <w:r>
              <w:rPr>
                <w:rFonts w:hint="eastAsia"/>
                <w:b/>
              </w:rPr>
              <w:t>数据类型</w:t>
            </w:r>
          </w:p>
        </w:tc>
        <w:tc>
          <w:tcPr>
            <w:tcW w:w="6313" w:type="dxa"/>
            <w:vAlign w:val="center"/>
          </w:tcPr>
          <w:p w14:paraId="30956139">
            <w:r>
              <w:rPr>
                <w:rFonts w:hint="eastAsia"/>
              </w:rPr>
              <w:t>人肿瘤切除标本的单细胞 RNA 测序，配对单细胞 TCR 测序（scRNA/TCR-seq），并关联临床应答与生存元数据；如有条件，用空间转录组或 CODEX 做空间验证。</w:t>
            </w:r>
          </w:p>
        </w:tc>
      </w:tr>
    </w:tbl>
    <w:p w14:paraId="2C4D9D80"/>
    <w:p w14:paraId="18F401DD">
      <w:pPr>
        <w:pStyle w:val="2"/>
        <w:keepNext/>
        <w:keepLines/>
        <w:rPr>
          <w:kern w:val="44"/>
          <w:sz w:val="44"/>
          <w:szCs w:val="44"/>
        </w:rPr>
      </w:pPr>
      <w:r>
        <w:rPr>
          <w:rFonts w:hint="eastAsia"/>
          <w:lang w:val="en-US" w:eastAsia="zh-CN"/>
        </w:rPr>
        <w:t>2.</w:t>
      </w:r>
      <w:r>
        <w:rPr>
          <w:rFonts w:hint="eastAsia"/>
        </w:rPr>
        <w:t>课程文件夹内的两篇指定文献</w:t>
      </w:r>
    </w:p>
    <w:tbl>
      <w:tblPr>
        <w:tblStyle w:val="7"/>
        <w:tblW w:w="8306" w:type="dxa"/>
        <w:jc w:val="center"/>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Layout w:type="autofit"/>
        <w:tblCellMar>
          <w:top w:w="60" w:type="dxa"/>
          <w:left w:w="90" w:type="dxa"/>
          <w:bottom w:w="60" w:type="dxa"/>
          <w:right w:w="90" w:type="dxa"/>
        </w:tblCellMar>
      </w:tblPr>
      <w:tblGrid>
        <w:gridCol w:w="1329"/>
        <w:gridCol w:w="2824"/>
        <w:gridCol w:w="2160"/>
        <w:gridCol w:w="1993"/>
      </w:tblGrid>
      <w:tr w14:paraId="4D0400F0">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tblHeader/>
          <w:jc w:val="center"/>
        </w:trPr>
        <w:tc>
          <w:tcPr>
            <w:tcW w:w="1329" w:type="dxa"/>
            <w:shd w:val="clear" w:color="auto" w:fill="DCE6F1"/>
            <w:vAlign w:val="center"/>
          </w:tcPr>
          <w:p w14:paraId="2D7B22F8">
            <w:pPr>
              <w:jc w:val="left"/>
              <w:rPr>
                <w:b/>
                <w:bCs/>
              </w:rPr>
            </w:pPr>
            <w:r>
              <w:rPr>
                <w:rFonts w:hint="eastAsia"/>
                <w:b/>
              </w:rPr>
              <w:t>编号</w:t>
            </w:r>
          </w:p>
        </w:tc>
        <w:tc>
          <w:tcPr>
            <w:tcW w:w="2824" w:type="dxa"/>
            <w:shd w:val="clear" w:color="auto" w:fill="DCE6F1"/>
            <w:vAlign w:val="center"/>
          </w:tcPr>
          <w:p w14:paraId="1F8F7538">
            <w:pPr>
              <w:jc w:val="left"/>
              <w:rPr>
                <w:b/>
                <w:bCs/>
              </w:rPr>
            </w:pPr>
            <w:r>
              <w:rPr>
                <w:rFonts w:hint="eastAsia"/>
                <w:b/>
              </w:rPr>
              <w:t>文献</w:t>
            </w:r>
          </w:p>
        </w:tc>
        <w:tc>
          <w:tcPr>
            <w:tcW w:w="2160" w:type="dxa"/>
            <w:shd w:val="clear" w:color="auto" w:fill="DCE6F1"/>
            <w:vAlign w:val="center"/>
          </w:tcPr>
          <w:p w14:paraId="24FF8071">
            <w:pPr>
              <w:jc w:val="left"/>
              <w:rPr>
                <w:b/>
                <w:bCs/>
              </w:rPr>
            </w:pPr>
            <w:r>
              <w:rPr>
                <w:rFonts w:hint="eastAsia"/>
                <w:b/>
              </w:rPr>
              <w:t>期刊 / 年份</w:t>
            </w:r>
          </w:p>
        </w:tc>
        <w:tc>
          <w:tcPr>
            <w:tcW w:w="1993" w:type="dxa"/>
            <w:shd w:val="clear" w:color="auto" w:fill="DCE6F1"/>
            <w:vAlign w:val="center"/>
          </w:tcPr>
          <w:p w14:paraId="5F055BD3">
            <w:pPr>
              <w:jc w:val="left"/>
              <w:rPr>
                <w:b/>
                <w:bCs/>
              </w:rPr>
            </w:pPr>
            <w:r>
              <w:rPr>
                <w:b/>
              </w:rPr>
              <w:t>DOI</w:t>
            </w:r>
          </w:p>
        </w:tc>
      </w:tr>
      <w:tr w14:paraId="159FB74B">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329" w:type="dxa"/>
            <w:vAlign w:val="center"/>
          </w:tcPr>
          <w:p w14:paraId="68DB3F4F">
            <w:r>
              <w:t>1</w:t>
            </w:r>
          </w:p>
        </w:tc>
        <w:tc>
          <w:tcPr>
            <w:tcW w:w="2824" w:type="dxa"/>
            <w:vAlign w:val="center"/>
          </w:tcPr>
          <w:p w14:paraId="7B9EB06D">
            <w:r>
              <w:rPr>
                <w:rFonts w:hint="eastAsia"/>
              </w:rPr>
              <w:t>Huang L, Pan G, Feng Y, 等. 婴儿湿疹早期定植菌的网络特征（Microbial network signatures of early colonizers in infants with eczema）</w:t>
            </w:r>
          </w:p>
        </w:tc>
        <w:tc>
          <w:tcPr>
            <w:tcW w:w="2160" w:type="dxa"/>
            <w:vAlign w:val="center"/>
          </w:tcPr>
          <w:p w14:paraId="38BAEEF8">
            <w:r>
              <w:t>iMeta. 2023;2:e90</w:t>
            </w:r>
          </w:p>
        </w:tc>
        <w:tc>
          <w:tcPr>
            <w:tcW w:w="1993" w:type="dxa"/>
            <w:vAlign w:val="center"/>
          </w:tcPr>
          <w:p w14:paraId="28FABCDD">
            <w:r>
              <w:t>10.1002/imt2.90</w:t>
            </w:r>
          </w:p>
        </w:tc>
      </w:tr>
      <w:tr w14:paraId="31DE48C6">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329" w:type="dxa"/>
            <w:vAlign w:val="center"/>
          </w:tcPr>
          <w:p w14:paraId="6D0B9097">
            <w:r>
              <w:t>2</w:t>
            </w:r>
          </w:p>
        </w:tc>
        <w:tc>
          <w:tcPr>
            <w:tcW w:w="2824" w:type="dxa"/>
            <w:vAlign w:val="center"/>
          </w:tcPr>
          <w:p w14:paraId="6B030724">
            <w:r>
              <w:rPr>
                <w:rFonts w:hint="eastAsia"/>
              </w:rPr>
              <w:t>Priya S, Burns MB, Ward T, 等. 用多组学整合鉴定跨人类疾病的共有与疾病特异性宿主基因—微生物组关联</w:t>
            </w:r>
          </w:p>
        </w:tc>
        <w:tc>
          <w:tcPr>
            <w:tcW w:w="2160" w:type="dxa"/>
            <w:vAlign w:val="center"/>
          </w:tcPr>
          <w:p w14:paraId="16761D96">
            <w:r>
              <w:t>Nature Microbiology. 2022;7(6):780–795</w:t>
            </w:r>
          </w:p>
        </w:tc>
        <w:tc>
          <w:tcPr>
            <w:tcW w:w="1993" w:type="dxa"/>
            <w:vAlign w:val="center"/>
          </w:tcPr>
          <w:p w14:paraId="31F436E9">
            <w:r>
              <w:t>10.1038/s41564-022-01121-z</w:t>
            </w:r>
          </w:p>
        </w:tc>
      </w:tr>
    </w:tbl>
    <w:p w14:paraId="2CB442E0">
      <w:pPr>
        <w:pStyle w:val="3"/>
        <w:keepNext/>
        <w:keepLines/>
        <w:rPr>
          <w:rFonts w:hint="eastAsia"/>
        </w:rPr>
      </w:pPr>
    </w:p>
    <w:p w14:paraId="71C5348A">
      <w:pPr>
        <w:pStyle w:val="3"/>
        <w:keepNext/>
        <w:keepLines/>
        <w:rPr>
          <w:sz w:val="32"/>
          <w:szCs w:val="32"/>
        </w:rPr>
      </w:pPr>
      <w:r>
        <w:rPr>
          <w:rFonts w:hint="eastAsia"/>
        </w:rPr>
        <w:t>文献 1 — Huang 等，iMeta 2023（婴儿湿疹与菌群网络）</w:t>
      </w:r>
    </w:p>
    <w:p w14:paraId="06491935">
      <w:pPr>
        <w:pStyle w:val="4"/>
        <w:keepNext/>
        <w:keepLines/>
        <w:rPr>
          <w:sz w:val="32"/>
          <w:szCs w:val="32"/>
        </w:rPr>
      </w:pPr>
      <w:r>
        <w:rPr>
          <w:rFonts w:hint="eastAsia"/>
        </w:rPr>
        <w:t>问题 1：PECO 四要素</w:t>
      </w:r>
    </w:p>
    <w:tbl>
      <w:tblPr>
        <w:tblStyle w:val="7"/>
        <w:tblW w:w="8306" w:type="dxa"/>
        <w:jc w:val="center"/>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Layout w:type="autofit"/>
        <w:tblCellMar>
          <w:top w:w="60" w:type="dxa"/>
          <w:left w:w="90" w:type="dxa"/>
          <w:bottom w:w="60" w:type="dxa"/>
          <w:right w:w="90" w:type="dxa"/>
        </w:tblCellMar>
      </w:tblPr>
      <w:tblGrid>
        <w:gridCol w:w="1993"/>
        <w:gridCol w:w="6313"/>
      </w:tblGrid>
      <w:tr w14:paraId="52A8D3DF">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tblHeader/>
          <w:jc w:val="center"/>
        </w:trPr>
        <w:tc>
          <w:tcPr>
            <w:tcW w:w="1993" w:type="dxa"/>
            <w:shd w:val="clear" w:color="auto" w:fill="DCE6F1"/>
            <w:vAlign w:val="center"/>
          </w:tcPr>
          <w:p w14:paraId="06C5731E">
            <w:pPr>
              <w:jc w:val="left"/>
              <w:rPr>
                <w:b/>
                <w:bCs/>
              </w:rPr>
            </w:pPr>
            <w:r>
              <w:rPr>
                <w:rFonts w:hint="eastAsia"/>
                <w:b/>
              </w:rPr>
              <w:t>PECO 要素</w:t>
            </w:r>
          </w:p>
        </w:tc>
        <w:tc>
          <w:tcPr>
            <w:tcW w:w="6313" w:type="dxa"/>
            <w:shd w:val="clear" w:color="auto" w:fill="DCE6F1"/>
            <w:vAlign w:val="center"/>
          </w:tcPr>
          <w:p w14:paraId="018F2287">
            <w:pPr>
              <w:jc w:val="left"/>
              <w:rPr>
                <w:b/>
                <w:bCs/>
              </w:rPr>
            </w:pPr>
            <w:r>
              <w:rPr>
                <w:rFonts w:hint="eastAsia"/>
                <w:b/>
              </w:rPr>
              <w:t>本研究中的界定</w:t>
            </w:r>
          </w:p>
        </w:tc>
      </w:tr>
      <w:tr w14:paraId="31BCE34A">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1ABCFFD9">
            <w:r>
              <w:rPr>
                <w:rFonts w:hint="eastAsia"/>
                <w:b/>
              </w:rPr>
              <w:t>人群（P）</w:t>
            </w:r>
          </w:p>
        </w:tc>
        <w:tc>
          <w:tcPr>
            <w:tcW w:w="6313" w:type="dxa"/>
            <w:vAlign w:val="center"/>
          </w:tcPr>
          <w:p w14:paraId="1033AA18">
            <w:r>
              <w:rPr>
                <w:rFonts w:hint="eastAsia"/>
              </w:rPr>
              <w:t>2021 年 6—10 月在广州珠江医院招募的 34 对母婴。纳入条件：足月、经阴道分娩；纯母乳或主要母乳喂养；出生后 100 天内未使用抗生素；母亲孕前 BMI &lt; 28。按婴儿 6 月龄时的结局分组：健康对照 22 例，湿疹组 12 例。另有两个独立健康验证队列：瑞典婴儿 16 例（Roswall 等）与丹麦婴儿 16 例（Christensen 等）。</w:t>
            </w:r>
          </w:p>
        </w:tc>
      </w:tr>
      <w:tr w14:paraId="7F7F35F9">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3723298F">
            <w:r>
              <w:rPr>
                <w:rFonts w:hint="eastAsia"/>
                <w:b/>
              </w:rPr>
              <w:t>暴露（E）</w:t>
            </w:r>
          </w:p>
        </w:tc>
        <w:tc>
          <w:tcPr>
            <w:tcW w:w="6313" w:type="dxa"/>
            <w:vAlign w:val="center"/>
          </w:tcPr>
          <w:p w14:paraId="13C088C1">
            <w:r>
              <w:rPr>
                <w:rFonts w:hint="eastAsia"/>
              </w:rPr>
              <w:t>出生后 100 天内肠道菌群网络的状态与成熟轨迹，即用科水平 ASV 构建的分子生态网络（MENs）拓扑结构——包括聚类数、边数、正/负相关边数、节点数、平均度、连通度、相对模块化程度、中心化程度；以及早期定植菌丰富度（InvSimpson α 多样性）。次要暴露因素：母亲孕晚期高甘油三酯（TG）。</w:t>
            </w:r>
          </w:p>
        </w:tc>
      </w:tr>
      <w:tr w14:paraId="48927BF1">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33C4082E">
            <w:r>
              <w:rPr>
                <w:rFonts w:hint="eastAsia"/>
                <w:b/>
              </w:rPr>
              <w:t>比较（C）</w:t>
            </w:r>
          </w:p>
        </w:tc>
        <w:tc>
          <w:tcPr>
            <w:tcW w:w="6313" w:type="dxa"/>
            <w:vAlign w:val="center"/>
          </w:tcPr>
          <w:p w14:paraId="2DB258A6">
            <w:r>
              <w:rPr>
                <w:rFonts w:hint="eastAsia"/>
              </w:rPr>
              <w:t>6 月龄时发生湿疹的婴儿（病例）vs. 未发生者（对照）；组内在四个时间点上的自身前后比较（出生时胎粪，以及第 1、2、3 月龄粪便）；并将对照组轨迹与瑞典、丹麦两个独立健康队列做基准比对。</w:t>
            </w:r>
          </w:p>
        </w:tc>
      </w:tr>
      <w:tr w14:paraId="54048A1D">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2CB2A4AC">
            <w:r>
              <w:rPr>
                <w:rFonts w:hint="eastAsia"/>
                <w:b/>
              </w:rPr>
              <w:t>结局（O）</w:t>
            </w:r>
          </w:p>
        </w:tc>
        <w:tc>
          <w:tcPr>
            <w:tcW w:w="6313" w:type="dxa"/>
            <w:vAlign w:val="center"/>
          </w:tcPr>
          <w:p w14:paraId="0678FBCA">
            <w:r>
              <w:rPr>
                <w:rFonts w:hint="eastAsia"/>
              </w:rPr>
              <w:t>主要结局：肠道菌群网络拓扑指标随时间的变化，以及病例组与对照组在网络密度与节律性上的差异；α 多样性（InvSimpson）与 β 多样性（Bray–Curtis PCoA + PERMANOVA）。次要结局：6 月龄时湿疹的发生情况，用多因素 logistic 回归建模（母亲 TG 的校正 OR = 3.41，95% CI 1.13–10.25，p = 0.029）。</w:t>
            </w:r>
          </w:p>
        </w:tc>
      </w:tr>
      <w:tr w14:paraId="730C76AA">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2DB0C1FC">
            <w:r>
              <w:rPr>
                <w:rFonts w:hint="eastAsia"/>
                <w:b/>
              </w:rPr>
              <w:t>关键协变量</w:t>
            </w:r>
          </w:p>
        </w:tc>
        <w:tc>
          <w:tcPr>
            <w:tcW w:w="6313" w:type="dxa"/>
            <w:vAlign w:val="center"/>
          </w:tcPr>
          <w:p w14:paraId="164F4363">
            <w:r>
              <w:rPr>
                <w:rFonts w:hint="eastAsia"/>
              </w:rPr>
              <w:t>设计阶段已控制：分娩方式（限定经阴道分娩）、喂养方式、出生后 100 天内的抗生素暴露、母亲产前益生菌/抗生素使用。统计阶段已校正：母亲孕前 BMI、分娩前 BMI、孕期增重、母亲年龄、婴儿性别、出生体重、母亲 TG。明确未测量：婴儿生活环境/季节性、长期疾病分期、睡眠质量。</w:t>
            </w:r>
          </w:p>
        </w:tc>
      </w:tr>
    </w:tbl>
    <w:p w14:paraId="634566D1">
      <w:pPr>
        <w:pStyle w:val="4"/>
        <w:keepNext/>
        <w:keepLines/>
        <w:rPr>
          <w:sz w:val="32"/>
          <w:szCs w:val="32"/>
        </w:rPr>
      </w:pPr>
      <w:r>
        <w:rPr>
          <w:rFonts w:hint="eastAsia"/>
        </w:rPr>
        <w:t>问题 2：数据集与数据类型</w:t>
      </w:r>
    </w:p>
    <w:p w14:paraId="79FE0C6D">
      <w:pPr>
        <w:numPr>
          <w:ilvl w:val="0"/>
          <w:numId w:val="1"/>
        </w:numPr>
      </w:pPr>
      <w:r>
        <w:rPr>
          <w:rFonts w:hint="eastAsia"/>
          <w:b/>
        </w:rPr>
        <w:t>主要数据类型：</w:t>
      </w:r>
      <w:r>
        <w:rPr>
          <w:rFonts w:hint="eastAsia"/>
        </w:rPr>
        <w:t>16S rRNA 基因扩增子测序（V3–V4 区，引物 341F / 805R），Illumina NovaSeq 双端测序。</w:t>
      </w:r>
    </w:p>
    <w:p w14:paraId="12B35D28">
      <w:pPr>
        <w:numPr>
          <w:ilvl w:val="0"/>
          <w:numId w:val="1"/>
        </w:numPr>
      </w:pPr>
      <w:r>
        <w:rPr>
          <w:rFonts w:hint="eastAsia"/>
          <w:b/>
        </w:rPr>
        <w:t>设计：</w:t>
      </w:r>
      <w:r>
        <w:rPr>
          <w:rFonts w:hint="eastAsia"/>
        </w:rPr>
        <w:t>前瞻性纵向队列，重复测量设计——每名婴儿 4 个时间点（出生时胎粪，之后第 1、2、3 月龄粪便）。共测序 140 份样本，实际使用 136 份；平均每个样本 88,405 条 reads（范围 54,615–124,965）。</w:t>
      </w:r>
    </w:p>
    <w:p w14:paraId="572D3DCC">
      <w:pPr>
        <w:numPr>
          <w:ilvl w:val="0"/>
          <w:numId w:val="1"/>
        </w:numPr>
      </w:pPr>
      <w:r>
        <w:rPr>
          <w:rFonts w:hint="eastAsia"/>
          <w:b/>
        </w:rPr>
        <w:t>数据处理：</w:t>
      </w:r>
      <w:r>
        <w:rPr>
          <w:rFonts w:hint="eastAsia"/>
        </w:rPr>
        <w:t>FLASH 合并双端 reads；DADA2 降噪并构建 ASV 表；在 QIIME2（v2022.2）中比对 Greengenes 13_8 数据库进行物种注释。过滤低丰度物种（组内平均相对丰度 &lt; 0.1%、流行度 &lt; 10%）。</w:t>
      </w:r>
    </w:p>
    <w:p w14:paraId="4EBFB88B">
      <w:pPr>
        <w:numPr>
          <w:ilvl w:val="0"/>
          <w:numId w:val="1"/>
        </w:numPr>
      </w:pPr>
      <w:r>
        <w:rPr>
          <w:rFonts w:hint="eastAsia"/>
          <w:b/>
        </w:rPr>
        <w:t>网络数据：</w:t>
      </w:r>
      <w:r>
        <w:rPr>
          <w:rFonts w:hint="eastAsia"/>
        </w:rPr>
        <w:t>基于科水平 ASV 相对丰度的 Spearman 相关构建分子生态网络（MENs），保留 BH 校正后 p &lt; 0.05 且 |rho| &gt; 0.3 的边；用 R 包 ggClusterNet 0.1.0 构建（model_igraph、cluster_fast_greedy）。</w:t>
      </w:r>
    </w:p>
    <w:p w14:paraId="48E11DE1">
      <w:pPr>
        <w:numPr>
          <w:ilvl w:val="0"/>
          <w:numId w:val="1"/>
        </w:numPr>
      </w:pPr>
      <w:r>
        <w:rPr>
          <w:rFonts w:hint="eastAsia"/>
          <w:b/>
        </w:rPr>
        <w:t>元数据：</w:t>
      </w:r>
      <w:r>
        <w:rPr>
          <w:rFonts w:hint="eastAsia"/>
        </w:rPr>
        <w:t>婴儿特征（性别、出生体重、身长、头围、Apgar 评分、喂养情况）与母亲临床生化指标（BMI、OGTT、总胆固醇、TG、肌酐），通过问诊与 6 月龄问卷收集。</w:t>
      </w:r>
    </w:p>
    <w:p w14:paraId="05AE1B13">
      <w:pPr>
        <w:numPr>
          <w:ilvl w:val="0"/>
          <w:numId w:val="1"/>
        </w:numPr>
      </w:pPr>
      <w:r>
        <w:rPr>
          <w:rFonts w:hint="eastAsia"/>
          <w:b/>
        </w:rPr>
        <w:t>外部验证数据：</w:t>
      </w:r>
      <w:r>
        <w:rPr>
          <w:rFonts w:hint="eastAsia"/>
        </w:rPr>
        <w:t>已发表的 16S rRNA 数据集——Roswall 等 2021（Cell Host &amp; Microbe，瑞典队列）与 Christensen 等 2022（Microbiome，丹麦队列）。</w:t>
      </w:r>
    </w:p>
    <w:p w14:paraId="351D084F">
      <w:pPr>
        <w:numPr>
          <w:ilvl w:val="0"/>
          <w:numId w:val="1"/>
        </w:numPr>
      </w:pPr>
      <w:r>
        <w:rPr>
          <w:rFonts w:hint="eastAsia"/>
          <w:b/>
        </w:rPr>
        <w:t>数据存放与代码：</w:t>
      </w:r>
      <w:r>
        <w:rPr>
          <w:rFonts w:hint="eastAsia"/>
        </w:rPr>
        <w:t>原始序列存放于国家微生物科学数据中心（NMDC），BioProject 编号 NMDC10018172；分析代码见 github.com/xielab2017/EasyMicroPlot；临床试验注册号 NCT05462366。</w:t>
      </w:r>
    </w:p>
    <w:p w14:paraId="712D2E26">
      <w:pPr>
        <w:numPr>
          <w:ilvl w:val="0"/>
          <w:numId w:val="1"/>
        </w:numPr>
      </w:pPr>
      <w:r>
        <w:rPr>
          <w:rFonts w:hint="eastAsia"/>
          <w:b/>
        </w:rPr>
        <w:t>统计方法：</w:t>
      </w:r>
      <w:r>
        <w:rPr>
          <w:rFonts w:hint="eastAsia"/>
        </w:rPr>
        <w:t>R 4.2.1；Shapiro–Wilk 检验正态性后选择非配对 t 检验或 Mann–Whitney 检验；Kruskal–Wallis 检验；单因素 ANOVA + LSD 事后检验；β 多样性用 PERMANOVA；多因素 logistic 回归；需要时进行 BH 多重检验校正。</w:t>
      </w:r>
    </w:p>
    <w:p w14:paraId="6B423642">
      <w:pPr>
        <w:pStyle w:val="4"/>
        <w:keepNext/>
        <w:keepLines/>
        <w:rPr>
          <w:sz w:val="32"/>
          <w:szCs w:val="32"/>
        </w:rPr>
      </w:pPr>
      <w:r>
        <w:rPr>
          <w:rFonts w:hint="eastAsia"/>
        </w:rPr>
        <w:t>问题 3：研究假设</w:t>
      </w:r>
    </w:p>
    <w:p w14:paraId="663C5E08">
      <w:r>
        <w:rPr>
          <w:rFonts w:hint="eastAsia"/>
        </w:rPr>
        <w:t>作者在讨论部分直接陈述了假设：“为验证我们的假设——生命早期的节律性动态变化与健康婴儿状态密切相关——我们基于三个独立数据集科水平 ASV 构建了分子生态网络……”改写为可证伪的表述：</w:t>
      </w:r>
    </w:p>
    <w:p w14:paraId="3851DD17">
      <w:r>
        <w:rPr>
          <w:rFonts w:hint="eastAsia"/>
        </w:rPr>
        <w:t>改写为可证伪的表述：</w:t>
      </w:r>
    </w:p>
    <w:p w14:paraId="47E40AF9">
      <w:pPr>
        <w:numPr>
          <w:ilvl w:val="0"/>
          <w:numId w:val="1"/>
        </w:numPr>
      </w:pPr>
      <w:r>
        <w:rPr>
          <w:rFonts w:hint="eastAsia"/>
          <w:b/>
        </w:rPr>
        <w:t>H1（主假设）：</w:t>
      </w:r>
      <w:r>
        <w:rPr>
          <w:rFonts w:hint="eastAsia"/>
        </w:rPr>
        <w:t>健康婴儿在出生后 100 天内呈现有节律、复杂度递增的肠道菌群网络成熟过程；而日后发生湿疹的婴儿丧失这种节律性，维持一个更稀疏、更简单、更不稳定的网络。</w:t>
      </w:r>
    </w:p>
    <w:p w14:paraId="7D3774AA">
      <w:pPr>
        <w:numPr>
          <w:ilvl w:val="0"/>
          <w:numId w:val="1"/>
        </w:numPr>
      </w:pPr>
      <w:r>
        <w:rPr>
          <w:rFonts w:hint="eastAsia"/>
          <w:b/>
        </w:rPr>
        <w:t>H2（机制推论）：</w:t>
      </w:r>
      <w:r>
        <w:rPr>
          <w:rFonts w:hint="eastAsia"/>
        </w:rPr>
        <w:t>早期定植菌丰富度是构建复杂网络的前提，因此生命早期丰富度下降先于异常网络出现，进而导致湿疹风险升高——这提示通过增加丰富度的干预手段（益生元、益生菌、合生元）有可能恢复网络正常演进。</w:t>
      </w:r>
    </w:p>
    <w:p w14:paraId="331C5DAF">
      <w:pPr>
        <w:numPr>
          <w:ilvl w:val="0"/>
          <w:numId w:val="1"/>
        </w:numPr>
      </w:pPr>
      <w:r>
        <w:rPr>
          <w:rFonts w:hint="eastAsia"/>
          <w:b/>
        </w:rPr>
        <w:t>H3（次要假设）：</w:t>
      </w:r>
      <w:r>
        <w:rPr>
          <w:rFonts w:hint="eastAsia"/>
        </w:rPr>
        <w:t>母亲的代谢状态，特别是孕晚期高 TG，是婴儿湿疹的独立危险因素。</w:t>
      </w:r>
    </w:p>
    <w:p w14:paraId="7D4C1EEE">
      <w:r>
        <w:rPr>
          <w:rFonts w:hint="eastAsia"/>
          <w:i/>
        </w:rPr>
        <w:t>可证伪边界：本研究是观察性、纵向但非干预性的。它能证明网络节律性在不同结局组之间存在差异、且差异先于结局出现，但无法证明异常网络导致湿疹。作者也据此使用了克制的措辞（“可能与婴儿湿疹的发生相关”）。</w:t>
      </w:r>
    </w:p>
    <w:p w14:paraId="223B5C52">
      <w:pPr>
        <w:pStyle w:val="3"/>
        <w:keepNext/>
        <w:keepLines/>
        <w:rPr>
          <w:sz w:val="32"/>
          <w:szCs w:val="32"/>
        </w:rPr>
      </w:pPr>
      <w:r>
        <w:rPr>
          <w:rFonts w:hint="eastAsia"/>
        </w:rPr>
        <w:t>文献 2 — Priya 等，Nature Microbiology 2022（宿主基因—微生物组多组学整合）</w:t>
      </w:r>
    </w:p>
    <w:p w14:paraId="3FF3C319">
      <w:pPr>
        <w:pStyle w:val="4"/>
        <w:keepNext/>
        <w:keepLines/>
        <w:rPr>
          <w:sz w:val="32"/>
          <w:szCs w:val="32"/>
        </w:rPr>
      </w:pPr>
      <w:r>
        <w:rPr>
          <w:rFonts w:hint="eastAsia"/>
        </w:rPr>
        <w:t>问题 1：PECO 四要素</w:t>
      </w:r>
    </w:p>
    <w:tbl>
      <w:tblPr>
        <w:tblStyle w:val="7"/>
        <w:tblW w:w="8306" w:type="dxa"/>
        <w:jc w:val="center"/>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Layout w:type="autofit"/>
        <w:tblCellMar>
          <w:top w:w="60" w:type="dxa"/>
          <w:left w:w="90" w:type="dxa"/>
          <w:bottom w:w="60" w:type="dxa"/>
          <w:right w:w="90" w:type="dxa"/>
        </w:tblCellMar>
      </w:tblPr>
      <w:tblGrid>
        <w:gridCol w:w="1993"/>
        <w:gridCol w:w="6313"/>
      </w:tblGrid>
      <w:tr w14:paraId="2CBEF198">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tblHeader/>
          <w:jc w:val="center"/>
        </w:trPr>
        <w:tc>
          <w:tcPr>
            <w:tcW w:w="1993" w:type="dxa"/>
            <w:shd w:val="clear" w:color="auto" w:fill="DCE6F1"/>
            <w:vAlign w:val="center"/>
          </w:tcPr>
          <w:p w14:paraId="1FBF0680">
            <w:pPr>
              <w:jc w:val="left"/>
              <w:rPr>
                <w:b/>
                <w:bCs/>
              </w:rPr>
            </w:pPr>
            <w:r>
              <w:rPr>
                <w:rFonts w:hint="eastAsia"/>
                <w:b/>
              </w:rPr>
              <w:t>PECO 要素</w:t>
            </w:r>
          </w:p>
        </w:tc>
        <w:tc>
          <w:tcPr>
            <w:tcW w:w="6313" w:type="dxa"/>
            <w:shd w:val="clear" w:color="auto" w:fill="DCE6F1"/>
            <w:vAlign w:val="center"/>
          </w:tcPr>
          <w:p w14:paraId="15988CE9">
            <w:pPr>
              <w:jc w:val="left"/>
              <w:rPr>
                <w:b/>
                <w:bCs/>
              </w:rPr>
            </w:pPr>
            <w:r>
              <w:rPr>
                <w:rFonts w:hint="eastAsia"/>
                <w:b/>
              </w:rPr>
              <w:t>本研究中的界定</w:t>
            </w:r>
          </w:p>
        </w:tc>
      </w:tr>
      <w:tr w14:paraId="3AF03AF5">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08FB0518">
            <w:r>
              <w:rPr>
                <w:rFonts w:hint="eastAsia"/>
                <w:b/>
              </w:rPr>
              <w:t>人群（P）</w:t>
            </w:r>
          </w:p>
        </w:tc>
        <w:tc>
          <w:tcPr>
            <w:tcW w:w="6313" w:type="dxa"/>
            <w:vAlign w:val="center"/>
          </w:tcPr>
          <w:p w14:paraId="4C3D22E4">
            <w:r>
              <w:rPr>
                <w:rFonts w:hint="eastAsia"/>
              </w:rPr>
              <w:t>来自三个胃肠道疾病队列、共 208 对配对样本（合计 416 份）的结肠黏膜活检组织：结直肠癌（CRC）——44 名患者的 88 对样本（44 份肿瘤 + 44 份患者配对正常组织；女 23 / 男 21；平均年龄 65 岁）；炎症性肠病（IBD）——78 名个体的 78 对样本（56 例 IBD + 22 例非 IBD，来自 HMP2 项目；女 38 / 男 40）；肠易激综合征（IBS）——42 名个体的 42 对样本（29 例 IBS + 13 例非 IBS；女 31 / 男 11；平均年龄 38 岁）。</w:t>
            </w:r>
          </w:p>
        </w:tc>
      </w:tr>
      <w:tr w14:paraId="614CC54D">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72E7969F">
            <w:r>
              <w:rPr>
                <w:rFonts w:hint="eastAsia"/>
                <w:b/>
              </w:rPr>
              <w:t>暴露（E）</w:t>
            </w:r>
          </w:p>
        </w:tc>
        <w:tc>
          <w:tcPr>
            <w:tcW w:w="6313" w:type="dxa"/>
            <w:vAlign w:val="center"/>
          </w:tcPr>
          <w:p w14:paraId="7DAA1BBD">
            <w:r>
              <w:rPr>
                <w:rFonts w:hint="eastAsia"/>
              </w:rPr>
              <w:t>黏膜肠道菌群组成，即 16S rRNA 测序得到的细菌分类单元相对丰度。（本研究在结构上是对称的：微生物丰度与宿主基因表达被视为同一系统的两个视图，因此同样可以把宿主转录程序当作暴露、把微生物丰度当作应答。）</w:t>
            </w:r>
          </w:p>
        </w:tc>
      </w:tr>
      <w:tr w14:paraId="353BBD3D">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5E790921">
            <w:r>
              <w:rPr>
                <w:rFonts w:hint="eastAsia"/>
                <w:b/>
              </w:rPr>
              <w:t>比较（C）</w:t>
            </w:r>
          </w:p>
        </w:tc>
        <w:tc>
          <w:tcPr>
            <w:tcW w:w="6313" w:type="dxa"/>
            <w:vAlign w:val="center"/>
          </w:tcPr>
          <w:p w14:paraId="105CE757">
            <w:r>
              <w:rPr>
                <w:rFonts w:hint="eastAsia"/>
              </w:rPr>
              <w:t>两个比较维度：（i）跨疾病——CRC vs. IBD vs. IBS，用以区分“共有”关联（在 ≥2 种疾病中出现）与“疾病特异性”关联（仅在某一种疾病中出现）；（ii）疾病内病例 vs. 对照——肿瘤 vs. 患者配对正常组织、IBD vs. 非 IBD、IBS vs. 非 IBS。</w:t>
            </w:r>
          </w:p>
        </w:tc>
      </w:tr>
      <w:tr w14:paraId="2ECB5332">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68CAEE91">
            <w:r>
              <w:rPr>
                <w:rFonts w:hint="eastAsia"/>
                <w:b/>
              </w:rPr>
              <w:t>结局（O）</w:t>
            </w:r>
          </w:p>
        </w:tc>
        <w:tc>
          <w:tcPr>
            <w:tcW w:w="6313" w:type="dxa"/>
            <w:vAlign w:val="center"/>
          </w:tcPr>
          <w:p w14:paraId="7C726134">
            <w:r>
              <w:rPr>
                <w:rFonts w:hint="eastAsia"/>
              </w:rPr>
              <w:t>宿主基因表达（仅保留蛋白编码基因）以及在与微生物相关联的基因中富集的宿主通路，即统计上稳健的宿主基因—微生物关联集合及其网络结构。全文统一采用 Benjamini–Hochberg 校正，FDR &lt; 0.1。次要结局：用 Procrustes 分析并以 Mantel 检验验证的宿主—微生物组整体对应关系。</w:t>
            </w:r>
          </w:p>
        </w:tc>
      </w:tr>
      <w:tr w14:paraId="115198E9">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5181C0CA">
            <w:r>
              <w:rPr>
                <w:rFonts w:hint="eastAsia"/>
                <w:b/>
              </w:rPr>
              <w:t>关键协变量</w:t>
            </w:r>
          </w:p>
        </w:tc>
        <w:tc>
          <w:tcPr>
            <w:tcW w:w="6313" w:type="dxa"/>
            <w:vAlign w:val="center"/>
          </w:tcPr>
          <w:p w14:paraId="773707EC">
            <w:r>
              <w:rPr>
                <w:rFonts w:hint="eastAsia"/>
                <w:b/>
              </w:rPr>
              <w:t>未校正任何协变量</w:t>
            </w:r>
            <w:r>
              <w:rPr>
                <w:rFonts w:hint="eastAsia"/>
              </w:rPr>
              <w:t>。作者明确把这些未测量变量列为研究局限：队列间的年龄差异、解剖取样部位、饮食、宿主遗传背景、治疗与用药史。按课堂讲的文献质量评价表，这是本研究设计上最突出的弱点。</w:t>
            </w:r>
          </w:p>
        </w:tc>
      </w:tr>
    </w:tbl>
    <w:p w14:paraId="34CA6E62">
      <w:pPr>
        <w:pStyle w:val="4"/>
        <w:keepNext/>
        <w:keepLines/>
        <w:rPr>
          <w:sz w:val="32"/>
          <w:szCs w:val="32"/>
        </w:rPr>
      </w:pPr>
      <w:r>
        <w:rPr>
          <w:rFonts w:hint="eastAsia"/>
        </w:rPr>
        <w:t>问题 2：数据集与数据类型</w:t>
      </w:r>
    </w:p>
    <w:p w14:paraId="40F634E4">
      <w:pPr>
        <w:numPr>
          <w:ilvl w:val="0"/>
          <w:numId w:val="1"/>
        </w:numPr>
      </w:pPr>
      <w:r>
        <w:rPr>
          <w:rFonts w:hint="eastAsia"/>
          <w:b/>
        </w:rPr>
        <w:t>核心设计：</w:t>
      </w:r>
      <w:r>
        <w:rPr>
          <w:rFonts w:hint="eastAsia"/>
        </w:rPr>
        <w:t>来自</w:t>
      </w:r>
      <w:r>
        <w:rPr>
          <w:rFonts w:hint="eastAsia"/>
          <w:b/>
        </w:rPr>
        <w:t>同一份活检组织</w:t>
      </w:r>
      <w:r>
        <w:rPr>
          <w:rFonts w:hint="eastAsia"/>
        </w:rPr>
        <w:t>的配对多组学数据——宿主 bulk RNA-seq（宿主转录组）+ 16S rRNA 扩增子测序（黏膜微生物组），共 208 对配对样本。</w:t>
      </w:r>
    </w:p>
    <w:p w14:paraId="6B50742E">
      <w:pPr>
        <w:numPr>
          <w:ilvl w:val="0"/>
          <w:numId w:val="1"/>
        </w:numPr>
      </w:pPr>
      <w:r>
        <w:rPr>
          <w:rFonts w:hint="eastAsia"/>
          <w:b/>
        </w:rPr>
        <w:t>微生物组：</w:t>
      </w:r>
      <w:r>
        <w:rPr>
          <w:rFonts w:hint="eastAsia"/>
        </w:rPr>
        <w:t>16S rRNA OTU 表（未标准化、未过滤）；CRC 用 V5–V6 区（Illumina MiSeq 2×250 bp，QIIME v1.7.0 / USEARCH v7），IBD 与 IBS 用 V4 区（Illumina MiSeq 2×250 bp，UPARSE / BURST）。</w:t>
      </w:r>
    </w:p>
    <w:p w14:paraId="55227F55">
      <w:pPr>
        <w:numPr>
          <w:ilvl w:val="0"/>
          <w:numId w:val="1"/>
        </w:numPr>
      </w:pPr>
      <w:r>
        <w:rPr>
          <w:rFonts w:hint="eastAsia"/>
          <w:b/>
        </w:rPr>
        <w:t>宿主转录组：</w:t>
      </w:r>
      <w:r>
        <w:rPr>
          <w:rFonts w:hint="eastAsia"/>
        </w:rPr>
        <w:t>Illumina HiSeq 2000/2500，101 bp 双端。CRC 用 HISAT2 比对（NCBI v38；每样本 1,440 万–3,150 万条比对 reads，平均比对率 87.11%），IBS 用 MAP-RSeq v2.0.0 中的 TopHat2（hg19）；用 featureCounts / Subread 定量。</w:t>
      </w:r>
    </w:p>
    <w:p w14:paraId="539A20FD">
      <w:pPr>
        <w:numPr>
          <w:ilvl w:val="0"/>
          <w:numId w:val="1"/>
        </w:numPr>
      </w:pPr>
      <w:r>
        <w:rPr>
          <w:rFonts w:hint="eastAsia"/>
          <w:b/>
        </w:rPr>
        <w:t>整合前预处理：</w:t>
      </w:r>
      <w:r>
        <w:rPr>
          <w:rFonts w:hint="eastAsia"/>
        </w:rPr>
        <w:t>用 biomaRt v2.37.4 仅保留蛋白编码基因；剔除在半数以上样本中不表达的基因；用 DESeq2 做方差稳定变换（VST）。</w:t>
      </w:r>
    </w:p>
    <w:p w14:paraId="1E16791A">
      <w:pPr>
        <w:numPr>
          <w:ilvl w:val="0"/>
          <w:numId w:val="1"/>
        </w:numPr>
      </w:pPr>
      <w:r>
        <w:rPr>
          <w:rFonts w:hint="eastAsia"/>
          <w:b/>
        </w:rPr>
        <w:t>公共数据编号</w:t>
      </w:r>
      <w:r>
        <w:rPr>
          <w:rFonts w:hint="eastAsia"/>
        </w:rPr>
        <w:t>（均已在论文 Data availability 部分核对）：CRC 宿主 RNA-seq 为 PRJNA816986；CRC 16S 为 PRJNA284355；IBD 16S 为 PRJNA398089、IBD RNA-seq 为 GSE111889；IBS 16S 为 PRJEB37924、IBS RNA-seq 为 GSE146853。处理后的数据见补充表 12–17。</w:t>
      </w:r>
    </w:p>
    <w:p w14:paraId="07DAD893">
      <w:pPr>
        <w:numPr>
          <w:ilvl w:val="0"/>
          <w:numId w:val="1"/>
        </w:numPr>
      </w:pPr>
      <w:r>
        <w:rPr>
          <w:rFonts w:hint="eastAsia"/>
          <w:b/>
        </w:rPr>
        <w:t>整合方法：</w:t>
      </w:r>
      <w:r>
        <w:rPr>
          <w:rFonts w:hint="eastAsia"/>
        </w:rPr>
        <w:t>稀疏典型相关分析（sparse CCA）做组水平关联，用 LOOCV 调超参数；Lasso 惩罚回归配合稳定性选择（stability selection）做基因水平关联；通路富集用 Fisher 精确检验，BH 校正 FDR &lt; 0.1；Procrustes 与 Mantel 检验中，宿主数据用 Aitchison 距离、微生物组数据用 Bray–Curtis 距离。</w:t>
      </w:r>
    </w:p>
    <w:p w14:paraId="31A2D5E3">
      <w:pPr>
        <w:numPr>
          <w:ilvl w:val="0"/>
          <w:numId w:val="1"/>
        </w:numPr>
      </w:pPr>
      <w:r>
        <w:rPr>
          <w:rFonts w:hint="eastAsia"/>
          <w:b/>
        </w:rPr>
        <w:t>代码：</w:t>
      </w:r>
      <w:r>
        <w:rPr>
          <w:rFonts w:hint="eastAsia"/>
        </w:rPr>
        <w:t>github.com/blekhmanlab/host_gene_microbiome_interactions（附流程教程）。</w:t>
      </w:r>
    </w:p>
    <w:p w14:paraId="400F970F">
      <w:pPr>
        <w:pStyle w:val="4"/>
        <w:keepNext/>
        <w:keepLines/>
        <w:rPr>
          <w:sz w:val="32"/>
          <w:szCs w:val="32"/>
        </w:rPr>
      </w:pPr>
      <w:r>
        <w:rPr>
          <w:rFonts w:hint="eastAsia"/>
        </w:rPr>
        <w:t>问题 3：研究假设</w:t>
      </w:r>
    </w:p>
    <w:p w14:paraId="0DAD5359">
      <w:r>
        <w:rPr>
          <w:rFonts w:hint="eastAsia"/>
        </w:rPr>
        <w:t>原文陈述的假设（结果部分）：“我们假设，参与共同生物学功能的宿主基因与肠道微生物分类单元会以协同方式发挥作用，因此二者应表现为相关的表达与丰度模式。”更完整的可检验主张如下：</w:t>
      </w:r>
    </w:p>
    <w:p w14:paraId="748D6638">
      <w:pPr>
        <w:numPr>
          <w:ilvl w:val="0"/>
          <w:numId w:val="1"/>
        </w:numPr>
      </w:pPr>
      <w:r>
        <w:rPr>
          <w:rFonts w:hint="eastAsia"/>
          <w:b/>
        </w:rPr>
        <w:t>H1：</w:t>
      </w:r>
      <w:r>
        <w:rPr>
          <w:rFonts w:hint="eastAsia"/>
        </w:rPr>
        <w:t>肠道微生物与宿主基因之间</w:t>
      </w:r>
      <w:r>
        <w:rPr>
          <w:rFonts w:hint="eastAsia"/>
          <w:b/>
        </w:rPr>
        <w:t>不存在全局关联</w:t>
      </w:r>
      <w:r>
        <w:rPr>
          <w:rFonts w:hint="eastAsia"/>
        </w:rPr>
        <w:t>——只有一部分微生物与一部分宿主基因在结肠上皮层面相关联。（与 Procrustes 结果一致：CRC 显著，p = 0.0001；IBD 不显著，p = 0.1；IBS 不显著，p = 0.42。）</w:t>
      </w:r>
    </w:p>
    <w:p w14:paraId="549F9A4E">
      <w:pPr>
        <w:numPr>
          <w:ilvl w:val="0"/>
          <w:numId w:val="1"/>
        </w:numPr>
      </w:pPr>
      <w:r>
        <w:rPr>
          <w:rFonts w:hint="eastAsia"/>
          <w:b/>
        </w:rPr>
        <w:t>H2：</w:t>
      </w:r>
      <w:r>
        <w:rPr>
          <w:rFonts w:hint="eastAsia"/>
        </w:rPr>
        <w:t>存在一组共有的宿主基因与通路核心——胃肠道炎症、肠屏障保护与修复、能量代谢——其表达在三种疾病中都与微生物丰度相关，尽管具体搭配的微生物随疾病而不同。</w:t>
      </w:r>
    </w:p>
    <w:p w14:paraId="522023C9">
      <w:pPr>
        <w:rPr>
          <w:rFonts w:hint="eastAsia"/>
        </w:rPr>
      </w:pPr>
      <w:r>
        <w:rPr>
          <w:rFonts w:hint="eastAsia"/>
          <w:b/>
        </w:rPr>
        <w:t>H3（本文最具标志性的主张）：</w:t>
      </w:r>
      <w:r>
        <w:rPr>
          <w:rFonts w:hint="eastAsia"/>
        </w:rPr>
        <w:t>同一个疾病相关微生物，可以通过在不同疾病中关联不同的宿主基因与通路，以</w:t>
      </w:r>
      <w:r>
        <w:rPr>
          <w:rFonts w:hint="eastAsia"/>
          <w:b/>
        </w:rPr>
        <w:t>疾病特异的方式</w:t>
      </w:r>
      <w:r>
        <w:rPr>
          <w:rFonts w:hint="eastAsia"/>
        </w:rPr>
        <w:t>影响宿主病理生理。</w:t>
      </w:r>
    </w:p>
    <w:p w14:paraId="27EAEDF7">
      <w:pPr>
        <w:rPr>
          <w:rFonts w:hint="eastAsia"/>
        </w:rPr>
      </w:pPr>
    </w:p>
    <w:p w14:paraId="2C713ABF">
      <w:pPr>
        <w:pStyle w:val="3"/>
        <w:keepNext/>
        <w:keepLines/>
        <w:rPr>
          <w:sz w:val="32"/>
          <w:szCs w:val="32"/>
        </w:rPr>
      </w:pPr>
      <w:r>
        <w:rPr>
          <w:rFonts w:hint="eastAsia"/>
          <w:lang w:val="en-US" w:eastAsia="zh-CN"/>
        </w:rPr>
        <w:t>3</w:t>
      </w:r>
      <w:r>
        <w:rPr>
          <w:rFonts w:hint="eastAsia"/>
        </w:rPr>
        <w:t>. PubMed 检索策略</w:t>
      </w:r>
    </w:p>
    <w:p w14:paraId="087B0453">
      <w:r>
        <w:rPr>
          <w:rFonts w:hint="eastAsia"/>
          <w:b/>
        </w:rPr>
        <w:t>检索式 1 — 宽检索</w:t>
      </w:r>
      <w:r>
        <w:rPr>
          <w:rFonts w:hint="eastAsia"/>
        </w:rPr>
        <w:t>（按概念逐块搭建，方法见第 2 次课）：</w:t>
      </w:r>
    </w:p>
    <w:p w14:paraId="5B4CB1B2">
      <w:pPr>
        <w:shd w:val="clear" w:fill="F2F4F7"/>
        <w:rPr>
          <w:rFonts w:ascii="Consolas" w:hAnsi="Consolas" w:eastAsia="Consolas" w:cs="Consolas"/>
          <w:sz w:val="18"/>
        </w:rPr>
      </w:pPr>
      <w:r>
        <w:rPr>
          <w:rFonts w:ascii="Consolas" w:hAnsi="Consolas" w:eastAsia="Consolas" w:cs="Consolas"/>
          <w:sz w:val="18"/>
        </w:rPr>
        <w:t>("Single-Cell Analysis"[MeSH] OR "single-cell RNA sequencing"[tiab] OR "scRNA-seq"[tiab]</w:t>
      </w:r>
      <w:r>
        <w:br w:type="textWrapping"/>
      </w:r>
      <w:r>
        <w:rPr>
          <w:rFonts w:ascii="Consolas" w:hAnsi="Consolas" w:eastAsia="Consolas" w:cs="Consolas"/>
          <w:sz w:val="18"/>
        </w:rPr>
        <w:t>OR "single cell transcriptomics"[tiab] OR "single-cell transcriptomic"[tiab])</w:t>
      </w:r>
      <w:r>
        <w:br w:type="textWrapping"/>
      </w:r>
      <w:r>
        <w:rPr>
          <w:rFonts w:ascii="Consolas" w:hAnsi="Consolas" w:eastAsia="Consolas" w:cs="Consolas"/>
          <w:sz w:val="18"/>
        </w:rPr>
        <w:t>AND ("Neoplasms"[MeSH] OR cancer[tiab] OR tumor[tiab] OR tumour[tiab])</w:t>
      </w:r>
      <w:r>
        <w:br w:type="textWrapping"/>
      </w:r>
      <w:r>
        <w:rPr>
          <w:rFonts w:ascii="Consolas" w:hAnsi="Consolas" w:eastAsia="Consolas" w:cs="Consolas"/>
          <w:sz w:val="18"/>
        </w:rPr>
        <w:t>AND ("Tumor Microenvironment"[MeSH] OR "tumor-infiltrating"[tiab]</w:t>
      </w:r>
      <w:r>
        <w:br w:type="textWrapping"/>
      </w:r>
      <w:r>
        <w:rPr>
          <w:rFonts w:ascii="Consolas" w:hAnsi="Consolas" w:eastAsia="Consolas" w:cs="Consolas"/>
          <w:sz w:val="18"/>
        </w:rPr>
        <w:t>OR "tumour-infiltrating"[tiab] OR "immune checkpoint"[tiab] OR "T cells"[tiab]</w:t>
      </w:r>
      <w:r>
        <w:br w:type="textWrapping"/>
      </w:r>
      <w:r>
        <w:rPr>
          <w:rFonts w:ascii="Consolas" w:hAnsi="Consolas" w:eastAsia="Consolas" w:cs="Consolas"/>
          <w:sz w:val="18"/>
        </w:rPr>
        <w:t>OR immunology[tiab])</w:t>
      </w:r>
      <w:r>
        <w:br w:type="textWrapping"/>
      </w:r>
      <w:r>
        <w:rPr>
          <w:rFonts w:ascii="Consolas" w:hAnsi="Consolas" w:eastAsia="Consolas" w:cs="Consolas"/>
          <w:sz w:val="18"/>
        </w:rPr>
        <w:t>AND ("2024"[dp]:"2026"[dp]) AND humans[MeSH]</w:t>
      </w:r>
    </w:p>
    <w:p w14:paraId="09C3CDD0">
      <w:pPr>
        <w:shd w:val="clear" w:fill="F2F4F7"/>
        <w:rPr>
          <w:rFonts w:ascii="Consolas" w:hAnsi="Consolas" w:eastAsia="Consolas" w:cs="Consolas"/>
          <w:sz w:val="18"/>
        </w:rPr>
      </w:pPr>
    </w:p>
    <w:tbl>
      <w:tblPr>
        <w:tblStyle w:val="7"/>
        <w:tblW w:w="8306" w:type="dxa"/>
        <w:jc w:val="center"/>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Layout w:type="autofit"/>
        <w:tblCellMar>
          <w:top w:w="60" w:type="dxa"/>
          <w:left w:w="90" w:type="dxa"/>
          <w:bottom w:w="60" w:type="dxa"/>
          <w:right w:w="90" w:type="dxa"/>
        </w:tblCellMar>
      </w:tblPr>
      <w:tblGrid>
        <w:gridCol w:w="1329"/>
        <w:gridCol w:w="2824"/>
        <w:gridCol w:w="2160"/>
        <w:gridCol w:w="1993"/>
      </w:tblGrid>
      <w:tr w14:paraId="6162FD6C">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tblHeader/>
          <w:jc w:val="center"/>
        </w:trPr>
        <w:tc>
          <w:tcPr>
            <w:tcW w:w="1329" w:type="dxa"/>
            <w:shd w:val="clear" w:color="auto" w:fill="DCE6F1"/>
            <w:vAlign w:val="center"/>
          </w:tcPr>
          <w:p w14:paraId="58187EB0">
            <w:pPr>
              <w:jc w:val="left"/>
              <w:rPr>
                <w:b/>
                <w:bCs/>
              </w:rPr>
            </w:pPr>
            <w:r>
              <w:rPr>
                <w:rFonts w:hint="eastAsia"/>
                <w:b/>
              </w:rPr>
              <w:t>数据库</w:t>
            </w:r>
          </w:p>
        </w:tc>
        <w:tc>
          <w:tcPr>
            <w:tcW w:w="2824" w:type="dxa"/>
            <w:shd w:val="clear" w:color="auto" w:fill="DCE6F1"/>
            <w:vAlign w:val="center"/>
          </w:tcPr>
          <w:p w14:paraId="086D8303">
            <w:pPr>
              <w:jc w:val="left"/>
              <w:rPr>
                <w:b/>
                <w:bCs/>
              </w:rPr>
            </w:pPr>
            <w:r>
              <w:rPr>
                <w:rFonts w:hint="eastAsia"/>
                <w:b/>
              </w:rPr>
              <w:t>检索日期</w:t>
            </w:r>
          </w:p>
        </w:tc>
        <w:tc>
          <w:tcPr>
            <w:tcW w:w="2160" w:type="dxa"/>
            <w:shd w:val="clear" w:color="auto" w:fill="DCE6F1"/>
            <w:vAlign w:val="center"/>
          </w:tcPr>
          <w:p w14:paraId="4813113D">
            <w:pPr>
              <w:jc w:val="left"/>
              <w:rPr>
                <w:b/>
                <w:bCs/>
              </w:rPr>
            </w:pPr>
            <w:r>
              <w:rPr>
                <w:rFonts w:hint="eastAsia"/>
                <w:b/>
              </w:rPr>
              <w:t>限定条件</w:t>
            </w:r>
          </w:p>
        </w:tc>
        <w:tc>
          <w:tcPr>
            <w:tcW w:w="1993" w:type="dxa"/>
            <w:shd w:val="clear" w:color="auto" w:fill="DCE6F1"/>
            <w:vAlign w:val="center"/>
          </w:tcPr>
          <w:p w14:paraId="637BF3A8">
            <w:pPr>
              <w:jc w:val="left"/>
              <w:rPr>
                <w:b/>
                <w:bCs/>
              </w:rPr>
            </w:pPr>
            <w:r>
              <w:rPr>
                <w:rFonts w:hint="eastAsia"/>
                <w:b/>
              </w:rPr>
              <w:t>命中数</w:t>
            </w:r>
          </w:p>
        </w:tc>
      </w:tr>
      <w:tr w14:paraId="3483B6FC">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329" w:type="dxa"/>
            <w:vAlign w:val="center"/>
          </w:tcPr>
          <w:p w14:paraId="099E4E3A">
            <w:r>
              <w:t>PubMed</w:t>
            </w:r>
          </w:p>
        </w:tc>
        <w:tc>
          <w:tcPr>
            <w:tcW w:w="2824" w:type="dxa"/>
            <w:vAlign w:val="center"/>
          </w:tcPr>
          <w:p w14:paraId="7DCD96D8">
            <w:r>
              <w:t>2026-09-04</w:t>
            </w:r>
          </w:p>
        </w:tc>
        <w:tc>
          <w:tcPr>
            <w:tcW w:w="2160" w:type="dxa"/>
            <w:vAlign w:val="center"/>
          </w:tcPr>
          <w:p w14:paraId="04FEAC6E">
            <w:r>
              <w:rPr>
                <w:rFonts w:hint="eastAsia"/>
              </w:rPr>
              <w:t>2024–2026 年、人类</w:t>
            </w:r>
          </w:p>
        </w:tc>
        <w:tc>
          <w:tcPr>
            <w:tcW w:w="1993" w:type="dxa"/>
            <w:vAlign w:val="center"/>
          </w:tcPr>
          <w:p w14:paraId="2AFAF737">
            <w:r>
              <w:t>4,757</w:t>
            </w:r>
          </w:p>
        </w:tc>
      </w:tr>
      <w:tr w14:paraId="3A4C079F">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329" w:type="dxa"/>
            <w:vAlign w:val="center"/>
          </w:tcPr>
          <w:p w14:paraId="7CAC79F5"/>
        </w:tc>
        <w:tc>
          <w:tcPr>
            <w:tcW w:w="2824" w:type="dxa"/>
            <w:vAlign w:val="center"/>
          </w:tcPr>
          <w:p w14:paraId="2CBE6379"/>
        </w:tc>
        <w:tc>
          <w:tcPr>
            <w:tcW w:w="2160" w:type="dxa"/>
            <w:vAlign w:val="center"/>
          </w:tcPr>
          <w:p w14:paraId="4F74B7C2">
            <w:pPr>
              <w:rPr>
                <w:rFonts w:hint="eastAsia"/>
              </w:rPr>
            </w:pPr>
          </w:p>
        </w:tc>
        <w:tc>
          <w:tcPr>
            <w:tcW w:w="1993" w:type="dxa"/>
            <w:vAlign w:val="center"/>
          </w:tcPr>
          <w:p w14:paraId="79281EFC"/>
        </w:tc>
      </w:tr>
    </w:tbl>
    <w:p w14:paraId="3432479E">
      <w:pPr>
        <w:rPr>
          <w:rFonts w:hint="eastAsia"/>
          <w:b/>
        </w:rPr>
      </w:pPr>
    </w:p>
    <w:p w14:paraId="5A87A358">
      <w:r>
        <w:rPr>
          <w:rFonts w:hint="eastAsia"/>
          <w:b/>
        </w:rPr>
        <w:t>检索式 2 — 精化检索。</w:t>
      </w:r>
      <w:r>
        <w:rPr>
          <w:rFonts w:hint="eastAsia"/>
        </w:rPr>
        <w:t xml:space="preserve">精化理由：4,757 条记录远超可人工筛查范围，且其中很多只是提到免疫细胞，并未涉及免疫治疗应答或 T 细胞耗竭。按讲义中“结果过多”的处理规则，我用 AND </w:t>
      </w:r>
      <w:r>
        <w:rPr>
          <w:rFonts w:hint="eastAsia"/>
          <w:b/>
        </w:rPr>
        <w:t>增加</w:t>
      </w:r>
      <w:r>
        <w:rPr>
          <w:rFonts w:hint="eastAsia"/>
        </w:rPr>
        <w:t>了第四个概念，而不是删掉某个概念。</w:t>
      </w:r>
    </w:p>
    <w:p w14:paraId="1F42B908">
      <w:pPr>
        <w:shd w:val="clear" w:fill="F2F4F7"/>
        <w:rPr>
          <w:rFonts w:ascii="Consolas" w:hAnsi="Consolas" w:eastAsia="Consolas" w:cs="Consolas"/>
          <w:sz w:val="18"/>
        </w:rPr>
      </w:pPr>
      <w:r>
        <w:rPr>
          <w:rFonts w:ascii="Consolas" w:hAnsi="Consolas" w:eastAsia="Consolas" w:cs="Consolas"/>
          <w:sz w:val="18"/>
        </w:rPr>
        <w:t>("Single-Cell Analysis"[MeSH] OR "single-cell RNA sequencing"[tiab] OR "scRNA-seq"[tiab]</w:t>
      </w:r>
      <w:r>
        <w:br w:type="textWrapping"/>
      </w:r>
      <w:r>
        <w:rPr>
          <w:rFonts w:ascii="Consolas" w:hAnsi="Consolas" w:eastAsia="Consolas" w:cs="Consolas"/>
          <w:sz w:val="18"/>
        </w:rPr>
        <w:t>OR "single cell transcriptomics"[tiab])</w:t>
      </w:r>
      <w:r>
        <w:br w:type="textWrapping"/>
      </w:r>
      <w:r>
        <w:rPr>
          <w:rFonts w:ascii="Consolas" w:hAnsi="Consolas" w:eastAsia="Consolas" w:cs="Consolas"/>
          <w:sz w:val="18"/>
        </w:rPr>
        <w:t>AND ("Neoplasms"[MeSH] OR cancer[tiab] OR tumor[tiab])</w:t>
      </w:r>
      <w:r>
        <w:br w:type="textWrapping"/>
      </w:r>
      <w:r>
        <w:rPr>
          <w:rFonts w:ascii="Consolas" w:hAnsi="Consolas" w:eastAsia="Consolas" w:cs="Consolas"/>
          <w:sz w:val="18"/>
        </w:rPr>
        <w:t>AND ("Tumor Microenvironment"[MeSH] OR "tumor-infiltrating"[tiab] OR "T cells"[tiab])</w:t>
      </w:r>
      <w:r>
        <w:br w:type="textWrapping"/>
      </w:r>
      <w:r>
        <w:rPr>
          <w:rFonts w:ascii="Consolas" w:hAnsi="Consolas" w:eastAsia="Consolas" w:cs="Consolas"/>
          <w:sz w:val="18"/>
        </w:rPr>
        <w:t>AND ("T cell exhaustion"[tiab] OR "exhausted CD8"[tiab]</w:t>
      </w:r>
      <w:r>
        <w:br w:type="textWrapping"/>
      </w:r>
      <w:r>
        <w:rPr>
          <w:rFonts w:ascii="Consolas" w:hAnsi="Consolas" w:eastAsia="Consolas" w:cs="Consolas"/>
          <w:sz w:val="18"/>
        </w:rPr>
        <w:t>OR "immune checkpoint blockade"[tiab] OR "immunotherapy response"[tiab]</w:t>
      </w:r>
      <w:r>
        <w:br w:type="textWrapping"/>
      </w:r>
      <w:r>
        <w:rPr>
          <w:rFonts w:ascii="Consolas" w:hAnsi="Consolas" w:eastAsia="Consolas" w:cs="Consolas"/>
          <w:sz w:val="18"/>
        </w:rPr>
        <w:t>OR "checkpoint inhibitor"[tiab])</w:t>
      </w:r>
      <w:r>
        <w:br w:type="textWrapping"/>
      </w:r>
      <w:r>
        <w:rPr>
          <w:rFonts w:ascii="Consolas" w:hAnsi="Consolas" w:eastAsia="Consolas" w:cs="Consolas"/>
          <w:sz w:val="18"/>
        </w:rPr>
        <w:t>AND ("2024"[dp]:"2026"[dp]) AND humans[MeSH]</w:t>
      </w:r>
    </w:p>
    <w:p w14:paraId="5D1638FE">
      <w:pPr>
        <w:shd w:val="clear" w:fill="F2F4F7"/>
        <w:rPr>
          <w:rFonts w:ascii="Consolas" w:hAnsi="Consolas" w:eastAsia="Consolas" w:cs="Consolas"/>
          <w:sz w:val="18"/>
        </w:rPr>
      </w:pPr>
    </w:p>
    <w:tbl>
      <w:tblPr>
        <w:tblStyle w:val="7"/>
        <w:tblW w:w="8306" w:type="dxa"/>
        <w:jc w:val="center"/>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Layout w:type="autofit"/>
        <w:tblCellMar>
          <w:top w:w="60" w:type="dxa"/>
          <w:left w:w="90" w:type="dxa"/>
          <w:bottom w:w="60" w:type="dxa"/>
          <w:right w:w="90" w:type="dxa"/>
        </w:tblCellMar>
      </w:tblPr>
      <w:tblGrid>
        <w:gridCol w:w="1163"/>
        <w:gridCol w:w="2492"/>
        <w:gridCol w:w="1827"/>
        <w:gridCol w:w="831"/>
        <w:gridCol w:w="1993"/>
      </w:tblGrid>
      <w:tr w14:paraId="6C4F6509">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tblHeader/>
          <w:jc w:val="center"/>
        </w:trPr>
        <w:tc>
          <w:tcPr>
            <w:tcW w:w="1163" w:type="dxa"/>
            <w:shd w:val="clear" w:color="auto" w:fill="DCE6F1"/>
            <w:vAlign w:val="center"/>
          </w:tcPr>
          <w:p w14:paraId="127C9BD5">
            <w:pPr>
              <w:jc w:val="left"/>
              <w:rPr>
                <w:b/>
                <w:bCs/>
              </w:rPr>
            </w:pPr>
            <w:r>
              <w:rPr>
                <w:rFonts w:hint="eastAsia"/>
                <w:b/>
              </w:rPr>
              <w:t>数据库</w:t>
            </w:r>
          </w:p>
        </w:tc>
        <w:tc>
          <w:tcPr>
            <w:tcW w:w="2492" w:type="dxa"/>
            <w:shd w:val="clear" w:color="auto" w:fill="DCE6F1"/>
            <w:vAlign w:val="center"/>
          </w:tcPr>
          <w:p w14:paraId="2FF283EC">
            <w:pPr>
              <w:jc w:val="left"/>
              <w:rPr>
                <w:b/>
                <w:bCs/>
              </w:rPr>
            </w:pPr>
            <w:r>
              <w:rPr>
                <w:rFonts w:hint="eastAsia"/>
                <w:b/>
              </w:rPr>
              <w:t>检索日期</w:t>
            </w:r>
          </w:p>
        </w:tc>
        <w:tc>
          <w:tcPr>
            <w:tcW w:w="1827" w:type="dxa"/>
            <w:shd w:val="clear" w:color="auto" w:fill="DCE6F1"/>
            <w:vAlign w:val="center"/>
          </w:tcPr>
          <w:p w14:paraId="38138F7D">
            <w:pPr>
              <w:jc w:val="left"/>
              <w:rPr>
                <w:b/>
                <w:bCs/>
              </w:rPr>
            </w:pPr>
            <w:r>
              <w:rPr>
                <w:rFonts w:hint="eastAsia"/>
                <w:b/>
              </w:rPr>
              <w:t>限定条件</w:t>
            </w:r>
          </w:p>
        </w:tc>
        <w:tc>
          <w:tcPr>
            <w:tcW w:w="831" w:type="dxa"/>
            <w:shd w:val="clear" w:color="auto" w:fill="DCE6F1"/>
            <w:vAlign w:val="center"/>
          </w:tcPr>
          <w:p w14:paraId="74A9427B">
            <w:pPr>
              <w:jc w:val="left"/>
              <w:rPr>
                <w:b/>
                <w:bCs/>
              </w:rPr>
            </w:pPr>
            <w:r>
              <w:rPr>
                <w:rFonts w:hint="eastAsia"/>
                <w:b/>
              </w:rPr>
              <w:t>命中数</w:t>
            </w:r>
          </w:p>
        </w:tc>
        <w:tc>
          <w:tcPr>
            <w:tcW w:w="1993" w:type="dxa"/>
            <w:shd w:val="clear" w:color="auto" w:fill="DCE6F1"/>
            <w:vAlign w:val="center"/>
          </w:tcPr>
          <w:p w14:paraId="49026C1D">
            <w:pPr>
              <w:jc w:val="left"/>
              <w:rPr>
                <w:b/>
                <w:bCs/>
              </w:rPr>
            </w:pPr>
            <w:r>
              <w:rPr>
                <w:rFonts w:hint="eastAsia"/>
                <w:b/>
              </w:rPr>
              <w:t>排序方式</w:t>
            </w:r>
          </w:p>
        </w:tc>
      </w:tr>
      <w:tr w14:paraId="06BD16BB">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163" w:type="dxa"/>
            <w:vAlign w:val="center"/>
          </w:tcPr>
          <w:p w14:paraId="623A3B48">
            <w:r>
              <w:t>PubMed</w:t>
            </w:r>
          </w:p>
        </w:tc>
        <w:tc>
          <w:tcPr>
            <w:tcW w:w="2492" w:type="dxa"/>
            <w:vAlign w:val="center"/>
          </w:tcPr>
          <w:p w14:paraId="77479CC0">
            <w:r>
              <w:t>2026-09-04</w:t>
            </w:r>
          </w:p>
        </w:tc>
        <w:tc>
          <w:tcPr>
            <w:tcW w:w="1827" w:type="dxa"/>
            <w:vAlign w:val="center"/>
          </w:tcPr>
          <w:p w14:paraId="75E4C797">
            <w:r>
              <w:rPr>
                <w:rFonts w:hint="eastAsia"/>
              </w:rPr>
              <w:t>2024–2026 年、人类</w:t>
            </w:r>
          </w:p>
        </w:tc>
        <w:tc>
          <w:tcPr>
            <w:tcW w:w="831" w:type="dxa"/>
            <w:vAlign w:val="center"/>
          </w:tcPr>
          <w:p w14:paraId="28F7D911">
            <w:r>
              <w:t>809</w:t>
            </w:r>
          </w:p>
        </w:tc>
        <w:tc>
          <w:tcPr>
            <w:tcW w:w="1993" w:type="dxa"/>
            <w:vAlign w:val="center"/>
          </w:tcPr>
          <w:p w14:paraId="2FBD2D2E">
            <w:r>
              <w:rPr>
                <w:rFonts w:hint="eastAsia"/>
              </w:rPr>
              <w:t>相关性 + 日期，各取前 25–40 条</w:t>
            </w:r>
          </w:p>
        </w:tc>
      </w:tr>
    </w:tbl>
    <w:p w14:paraId="09AC9B17">
      <w:pPr>
        <w:rPr>
          <w:rFonts w:hint="eastAsia"/>
          <w:b/>
        </w:rPr>
      </w:pPr>
    </w:p>
    <w:p w14:paraId="7EEE6456">
      <w:r>
        <w:rPr>
          <w:rFonts w:hint="eastAsia"/>
          <w:b/>
        </w:rPr>
        <w:t>筛选标准</w:t>
      </w:r>
      <w:r>
        <w:rPr>
          <w:rFonts w:hint="eastAsia"/>
        </w:rPr>
        <w:t>（在阅读摘要之前先按标题与期刊初筛）：</w:t>
      </w:r>
    </w:p>
    <w:p w14:paraId="78F3941C">
      <w:pPr>
        <w:numPr>
          <w:ilvl w:val="0"/>
          <w:numId w:val="1"/>
        </w:numPr>
      </w:pPr>
      <w:r>
        <w:rPr>
          <w:rFonts w:hint="eastAsia"/>
          <w:b/>
        </w:rPr>
        <w:t>纳入：</w:t>
      </w:r>
      <w:r>
        <w:rPr>
          <w:rFonts w:hint="eastAsia"/>
        </w:rPr>
        <w:t>原创研究论文（非综述）；2024–2026 年；人肿瘤组织；单细胞转录组学是核心方法（而非顺带提及）；研究结论明确关联免疫治疗应答、耐药或 T 细胞耗竭。</w:t>
      </w:r>
    </w:p>
    <w:p w14:paraId="333D5834">
      <w:pPr>
        <w:numPr>
          <w:ilvl w:val="0"/>
          <w:numId w:val="1"/>
        </w:numPr>
      </w:pPr>
      <w:r>
        <w:rPr>
          <w:rFonts w:hint="eastAsia"/>
          <w:b/>
        </w:rPr>
        <w:t>排除：</w:t>
      </w:r>
      <w:r>
        <w:rPr>
          <w:rFonts w:hint="eastAsia"/>
        </w:rPr>
        <w:t>综述、评论或研究方案；仅 bulk 转录组；仅有动物或细胞系而无人肿瘤验证；只是顺带提到单细胞。</w:t>
      </w:r>
    </w:p>
    <w:p w14:paraId="4DB9DB2D">
      <w:pPr>
        <w:numPr>
          <w:ilvl w:val="0"/>
          <w:numId w:val="1"/>
        </w:numPr>
      </w:pPr>
      <w:r>
        <w:rPr>
          <w:rFonts w:hint="eastAsia"/>
        </w:rPr>
        <w:t>在按标题与期刊筛出的 60 条候选记录中，我选出 8 篇通读摘要，最终选定下面两篇。</w:t>
      </w:r>
    </w:p>
    <w:p w14:paraId="0874936E">
      <w:pPr>
        <w:pStyle w:val="3"/>
        <w:keepNext/>
        <w:keepLines/>
        <w:rPr>
          <w:rFonts w:hint="eastAsia"/>
        </w:rPr>
      </w:pPr>
    </w:p>
    <w:p w14:paraId="77213975">
      <w:pPr>
        <w:pStyle w:val="3"/>
        <w:keepNext/>
        <w:keepLines/>
        <w:rPr>
          <w:sz w:val="32"/>
          <w:szCs w:val="32"/>
        </w:rPr>
      </w:pPr>
      <w:r>
        <w:rPr>
          <w:rFonts w:hint="eastAsia"/>
        </w:rPr>
        <w:t>4. 选定文献</w:t>
      </w:r>
    </w:p>
    <w:tbl>
      <w:tblPr>
        <w:tblStyle w:val="7"/>
        <w:tblW w:w="8306" w:type="dxa"/>
        <w:jc w:val="center"/>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Layout w:type="autofit"/>
        <w:tblCellMar>
          <w:top w:w="60" w:type="dxa"/>
          <w:left w:w="90" w:type="dxa"/>
          <w:bottom w:w="60" w:type="dxa"/>
          <w:right w:w="90" w:type="dxa"/>
        </w:tblCellMar>
      </w:tblPr>
      <w:tblGrid>
        <w:gridCol w:w="396"/>
        <w:gridCol w:w="1356"/>
        <w:gridCol w:w="2683"/>
        <w:gridCol w:w="2438"/>
        <w:gridCol w:w="1433"/>
      </w:tblGrid>
      <w:tr w14:paraId="3391C872">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tblHeader/>
          <w:jc w:val="center"/>
        </w:trPr>
        <w:tc>
          <w:tcPr>
            <w:tcW w:w="581" w:type="dxa"/>
            <w:shd w:val="clear" w:color="auto" w:fill="DCE6F1"/>
            <w:vAlign w:val="center"/>
          </w:tcPr>
          <w:p w14:paraId="29AD6DDE">
            <w:pPr>
              <w:jc w:val="left"/>
              <w:rPr>
                <w:b/>
                <w:bCs/>
              </w:rPr>
            </w:pPr>
            <w:r>
              <w:rPr>
                <w:rFonts w:hint="eastAsia"/>
                <w:b/>
              </w:rPr>
              <w:t>编号</w:t>
            </w:r>
          </w:p>
        </w:tc>
        <w:tc>
          <w:tcPr>
            <w:tcW w:w="2076" w:type="dxa"/>
            <w:shd w:val="clear" w:color="auto" w:fill="DCE6F1"/>
            <w:vAlign w:val="center"/>
          </w:tcPr>
          <w:p w14:paraId="7BEDE78A">
            <w:pPr>
              <w:jc w:val="left"/>
              <w:rPr>
                <w:b/>
                <w:bCs/>
              </w:rPr>
            </w:pPr>
            <w:r>
              <w:rPr>
                <w:rFonts w:hint="eastAsia"/>
                <w:b/>
              </w:rPr>
              <w:t>文献</w:t>
            </w:r>
          </w:p>
        </w:tc>
        <w:tc>
          <w:tcPr>
            <w:tcW w:w="1495" w:type="dxa"/>
            <w:shd w:val="clear" w:color="auto" w:fill="DCE6F1"/>
            <w:vAlign w:val="center"/>
          </w:tcPr>
          <w:p w14:paraId="241BBC3B">
            <w:pPr>
              <w:jc w:val="left"/>
              <w:rPr>
                <w:b/>
                <w:bCs/>
              </w:rPr>
            </w:pPr>
            <w:r>
              <w:rPr>
                <w:rFonts w:hint="eastAsia"/>
                <w:b/>
              </w:rPr>
              <w:t>期刊 / 年份</w:t>
            </w:r>
          </w:p>
        </w:tc>
        <w:tc>
          <w:tcPr>
            <w:tcW w:w="1495" w:type="dxa"/>
            <w:shd w:val="clear" w:color="auto" w:fill="DCE6F1"/>
            <w:vAlign w:val="center"/>
          </w:tcPr>
          <w:p w14:paraId="3D49E952">
            <w:pPr>
              <w:jc w:val="left"/>
              <w:rPr>
                <w:b/>
                <w:bCs/>
              </w:rPr>
            </w:pPr>
            <w:r>
              <w:rPr>
                <w:b/>
              </w:rPr>
              <w:t>DOI / PMID</w:t>
            </w:r>
          </w:p>
        </w:tc>
        <w:tc>
          <w:tcPr>
            <w:tcW w:w="2659" w:type="dxa"/>
            <w:shd w:val="clear" w:color="auto" w:fill="DCE6F1"/>
            <w:vAlign w:val="center"/>
          </w:tcPr>
          <w:p w14:paraId="644939D5">
            <w:pPr>
              <w:jc w:val="left"/>
              <w:rPr>
                <w:b/>
                <w:bCs/>
              </w:rPr>
            </w:pPr>
            <w:r>
              <w:rPr>
                <w:rFonts w:hint="eastAsia"/>
                <w:b/>
              </w:rPr>
              <w:t>入选理由</w:t>
            </w:r>
          </w:p>
        </w:tc>
      </w:tr>
      <w:tr w14:paraId="6CC6F0F4">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581" w:type="dxa"/>
            <w:vAlign w:val="center"/>
          </w:tcPr>
          <w:p w14:paraId="2571FB40">
            <w:r>
              <w:t>A</w:t>
            </w:r>
          </w:p>
        </w:tc>
        <w:tc>
          <w:tcPr>
            <w:tcW w:w="2076" w:type="dxa"/>
            <w:vAlign w:val="center"/>
          </w:tcPr>
          <w:p w14:paraId="6A933573">
            <w:r>
              <w:rPr>
                <w:rFonts w:hint="eastAsia"/>
              </w:rPr>
              <w:t>Liu Z, Yang Z, Wu J, 等. 单细胞图谱揭示抗 PD-1 治疗的 NSCLC 中的免疫异质性</w:t>
            </w:r>
          </w:p>
        </w:tc>
        <w:tc>
          <w:tcPr>
            <w:tcW w:w="1495" w:type="dxa"/>
            <w:vAlign w:val="center"/>
          </w:tcPr>
          <w:p w14:paraId="44AA0EA2">
            <w:r>
              <w:t>Cell. 2025;188(11):3081–3096.e19</w:t>
            </w:r>
          </w:p>
        </w:tc>
        <w:tc>
          <w:tcPr>
            <w:tcW w:w="1495" w:type="dxa"/>
            <w:vAlign w:val="center"/>
          </w:tcPr>
          <w:p w14:paraId="7EC792A7">
            <w:r>
              <w:t>10.1016/j.cell.2025.03.018</w:t>
            </w:r>
            <w:r>
              <w:br w:type="textWrapping"/>
            </w:r>
            <w:r>
              <w:t>PMID 40147443</w:t>
            </w:r>
          </w:p>
        </w:tc>
        <w:tc>
          <w:tcPr>
            <w:tcW w:w="2659" w:type="dxa"/>
            <w:vAlign w:val="center"/>
          </w:tcPr>
          <w:p w14:paraId="2FC27B39">
            <w:r>
              <w:rPr>
                <w:rFonts w:hint="eastAsia"/>
                <w:b/>
              </w:rPr>
              <w:t>最重要：</w:t>
            </w:r>
            <w:r>
              <w:rPr>
                <w:rFonts w:hint="eastAsia"/>
              </w:rPr>
              <w:t>图谱级规模（234 例）、顶级期刊、scRNA+TCR-seq，直接把 TIME 亚型与 MPR、RFS 挂钩。被引 96 次（Europe PMC，查询于 2026-09-04）。</w:t>
            </w:r>
          </w:p>
        </w:tc>
      </w:tr>
      <w:tr w14:paraId="1B101525">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581" w:type="dxa"/>
            <w:vAlign w:val="center"/>
          </w:tcPr>
          <w:p w14:paraId="423D6EA6">
            <w:r>
              <w:t>B</w:t>
            </w:r>
          </w:p>
        </w:tc>
        <w:tc>
          <w:tcPr>
            <w:tcW w:w="2076" w:type="dxa"/>
            <w:vAlign w:val="center"/>
          </w:tcPr>
          <w:p w14:paraId="139B5B18">
            <w:r>
              <w:rPr>
                <w:rFonts w:hint="eastAsia"/>
              </w:rPr>
              <w:t>Du H, Lang T, Zha X, 等. 单细胞多组学鉴定驱动 NSCLC 免疫治疗耐药的 ALDH9A1–肉碱信号轴</w:t>
            </w:r>
          </w:p>
        </w:tc>
        <w:tc>
          <w:tcPr>
            <w:tcW w:w="1495" w:type="dxa"/>
            <w:vAlign w:val="center"/>
          </w:tcPr>
          <w:p w14:paraId="0CD3FFE8">
            <w:r>
              <w:t>Proc Natl Acad Sci U S A. 2026;123(33):e2535328123</w:t>
            </w:r>
          </w:p>
        </w:tc>
        <w:tc>
          <w:tcPr>
            <w:tcW w:w="1495" w:type="dxa"/>
            <w:vAlign w:val="center"/>
          </w:tcPr>
          <w:p w14:paraId="2DC2FC47">
            <w:r>
              <w:t>10.1073/pnas.2535328123</w:t>
            </w:r>
            <w:r>
              <w:br w:type="textWrapping"/>
            </w:r>
            <w:r>
              <w:t>PMID 42574617</w:t>
            </w:r>
          </w:p>
        </w:tc>
        <w:tc>
          <w:tcPr>
            <w:tcW w:w="2659" w:type="dxa"/>
            <w:vAlign w:val="center"/>
          </w:tcPr>
          <w:p w14:paraId="75E69894">
            <w:r>
              <w:rPr>
                <w:rFonts w:hint="eastAsia"/>
                <w:b/>
              </w:rPr>
              <w:t>最新：</w:t>
            </w:r>
            <w:r>
              <w:rPr>
                <w:rFonts w:hint="eastAsia"/>
              </w:rPr>
              <w:t>2026 年 8 月 18 日发表。单细胞多组学 + 空间设计，并含体内扰动实验，正好补上文献 A 图谱所缺的机制部分。</w:t>
            </w:r>
          </w:p>
        </w:tc>
      </w:tr>
    </w:tbl>
    <w:p w14:paraId="42BB6F0D">
      <w:pPr>
        <w:pStyle w:val="3"/>
        <w:keepNext/>
        <w:keepLines/>
        <w:rPr>
          <w:rFonts w:hint="eastAsia"/>
        </w:rPr>
      </w:pPr>
    </w:p>
    <w:p w14:paraId="39262F23">
      <w:pPr>
        <w:pStyle w:val="3"/>
        <w:keepNext/>
        <w:keepLines/>
        <w:rPr>
          <w:sz w:val="32"/>
          <w:szCs w:val="32"/>
        </w:rPr>
      </w:pPr>
      <w:r>
        <w:rPr>
          <w:rFonts w:hint="eastAsia"/>
        </w:rPr>
        <w:t>文献 A — Liu 等，Cell 2025（抗 PD-1 治疗后 NSCLC 单细胞图谱）</w:t>
      </w:r>
    </w:p>
    <w:p w14:paraId="23DF147F">
      <w:pPr>
        <w:pStyle w:val="4"/>
        <w:keepNext/>
        <w:keepLines/>
        <w:rPr>
          <w:sz w:val="32"/>
          <w:szCs w:val="32"/>
        </w:rPr>
      </w:pPr>
      <w:r>
        <w:rPr>
          <w:rFonts w:hint="eastAsia"/>
        </w:rPr>
        <w:t>问题 1：PECO 四要素</w:t>
      </w:r>
    </w:p>
    <w:tbl>
      <w:tblPr>
        <w:tblStyle w:val="7"/>
        <w:tblW w:w="8306" w:type="dxa"/>
        <w:jc w:val="center"/>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Layout w:type="autofit"/>
        <w:tblCellMar>
          <w:top w:w="60" w:type="dxa"/>
          <w:left w:w="90" w:type="dxa"/>
          <w:bottom w:w="60" w:type="dxa"/>
          <w:right w:w="90" w:type="dxa"/>
        </w:tblCellMar>
      </w:tblPr>
      <w:tblGrid>
        <w:gridCol w:w="1993"/>
        <w:gridCol w:w="6313"/>
      </w:tblGrid>
      <w:tr w14:paraId="2427BFBF">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tblHeader/>
          <w:jc w:val="center"/>
        </w:trPr>
        <w:tc>
          <w:tcPr>
            <w:tcW w:w="1993" w:type="dxa"/>
            <w:shd w:val="clear" w:color="auto" w:fill="DCE6F1"/>
            <w:vAlign w:val="center"/>
          </w:tcPr>
          <w:p w14:paraId="3A1E184F">
            <w:pPr>
              <w:jc w:val="left"/>
              <w:rPr>
                <w:b/>
                <w:bCs/>
              </w:rPr>
            </w:pPr>
            <w:r>
              <w:rPr>
                <w:rFonts w:hint="eastAsia"/>
                <w:b/>
              </w:rPr>
              <w:t>PECO 要素</w:t>
            </w:r>
          </w:p>
        </w:tc>
        <w:tc>
          <w:tcPr>
            <w:tcW w:w="6313" w:type="dxa"/>
            <w:shd w:val="clear" w:color="auto" w:fill="DCE6F1"/>
            <w:vAlign w:val="center"/>
          </w:tcPr>
          <w:p w14:paraId="1FCF2E68">
            <w:pPr>
              <w:jc w:val="left"/>
              <w:rPr>
                <w:b/>
                <w:bCs/>
              </w:rPr>
            </w:pPr>
            <w:r>
              <w:rPr>
                <w:rFonts w:hint="eastAsia"/>
                <w:b/>
              </w:rPr>
              <w:t>本研究中的界定</w:t>
            </w:r>
          </w:p>
        </w:tc>
      </w:tr>
      <w:tr w14:paraId="722216C2">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34C79708">
            <w:r>
              <w:rPr>
                <w:rFonts w:hint="eastAsia"/>
                <w:b/>
              </w:rPr>
              <w:t>人群（P）</w:t>
            </w:r>
          </w:p>
        </w:tc>
        <w:tc>
          <w:tcPr>
            <w:tcW w:w="6313" w:type="dxa"/>
            <w:vAlign w:val="center"/>
          </w:tcPr>
          <w:p w14:paraId="4C4D5CEB">
            <w:r>
              <w:rPr>
                <w:rFonts w:hint="eastAsia"/>
              </w:rPr>
              <w:t>234 例接受新辅助化疗免疫治疗、随后接受手术切除的 NSCLC 患者；对手术肿瘤标本进行测序。</w:t>
            </w:r>
          </w:p>
        </w:tc>
      </w:tr>
      <w:tr w14:paraId="32245660">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54D3EC4E">
            <w:r>
              <w:rPr>
                <w:rFonts w:hint="eastAsia"/>
                <w:b/>
              </w:rPr>
              <w:t>暴露（E）</w:t>
            </w:r>
          </w:p>
        </w:tc>
        <w:tc>
          <w:tcPr>
            <w:tcW w:w="6313" w:type="dxa"/>
            <w:vAlign w:val="center"/>
          </w:tcPr>
          <w:p w14:paraId="39A17B0D">
            <w:r>
              <w:rPr>
                <w:rFonts w:hint="eastAsia"/>
              </w:rPr>
              <w:t>由单细胞 RNA 与 TCR 测序解析出的肿瘤免疫微环境（TIME）组成，归纳为五个不同的 TIME 亚型，以及特定细胞状态的丰度：FGFBP2⁺ NK / NK 样 T 细胞、记忆 B 细胞、效应 T 细胞、CCR8⁺ 调节性 T 细胞、前体耗竭 CD8⁺ T 细胞（Texp）与 Tex 相关细胞。</w:t>
            </w:r>
          </w:p>
        </w:tc>
      </w:tr>
      <w:tr w14:paraId="307E571A">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33C792CF">
            <w:r>
              <w:rPr>
                <w:rFonts w:hint="eastAsia"/>
                <w:b/>
              </w:rPr>
              <w:t>比较（C）</w:t>
            </w:r>
          </w:p>
        </w:tc>
        <w:tc>
          <w:tcPr>
            <w:tcW w:w="6313" w:type="dxa"/>
            <w:vAlign w:val="center"/>
          </w:tcPr>
          <w:p w14:paraId="0F638BB4">
            <w:r>
              <w:rPr>
                <w:rFonts w:hint="eastAsia"/>
              </w:rPr>
              <w:t>MPR vs. 非 MPR（主轴）；五个 TIME 亚型之间比较 MPR 率；以及在非 MPR 患者内部比较 T 细胞克隆扩增格局的异质性。</w:t>
            </w:r>
          </w:p>
        </w:tc>
      </w:tr>
      <w:tr w14:paraId="525073B7">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02596223">
            <w:r>
              <w:rPr>
                <w:rFonts w:hint="eastAsia"/>
                <w:b/>
              </w:rPr>
              <w:t>结局（O）</w:t>
            </w:r>
          </w:p>
        </w:tc>
        <w:tc>
          <w:tcPr>
            <w:tcW w:w="6313" w:type="dxa"/>
            <w:vAlign w:val="center"/>
          </w:tcPr>
          <w:p w14:paraId="3285C706">
            <w:r>
              <w:rPr>
                <w:rFonts w:hint="eastAsia"/>
              </w:rPr>
              <w:t>主要病理缓解（MPR）率；无复发生存期（RFS）；T 细胞克隆扩增格局（Tex 相关细胞扩增 vs. CCR8⁺ Treg 扩增）。</w:t>
            </w:r>
          </w:p>
        </w:tc>
      </w:tr>
      <w:tr w14:paraId="604E91D5">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40A09BDE">
            <w:r>
              <w:rPr>
                <w:rFonts w:hint="eastAsia"/>
                <w:b/>
              </w:rPr>
              <w:t>关键协变量</w:t>
            </w:r>
          </w:p>
        </w:tc>
        <w:tc>
          <w:tcPr>
            <w:tcW w:w="6313" w:type="dxa"/>
            <w:vAlign w:val="center"/>
          </w:tcPr>
          <w:p w14:paraId="37B623B8">
            <w:r>
              <w:rPr>
                <w:rFonts w:hint="eastAsia"/>
              </w:rPr>
              <w:t>治疗方案保持一致（新辅助化疗免疫治疗）、样本类型保持一致（手术切除标本），从设计上消除了两大异质性来源。其他临床协变量在摘要中未逐项列出。</w:t>
            </w:r>
          </w:p>
        </w:tc>
      </w:tr>
    </w:tbl>
    <w:p w14:paraId="3128D02E">
      <w:pPr>
        <w:pStyle w:val="4"/>
        <w:keepNext/>
        <w:keepLines/>
        <w:rPr>
          <w:sz w:val="32"/>
          <w:szCs w:val="32"/>
        </w:rPr>
      </w:pPr>
      <w:r>
        <w:rPr>
          <w:rFonts w:hint="eastAsia"/>
        </w:rPr>
        <w:t>问题 2：数据集与数据类型</w:t>
      </w:r>
    </w:p>
    <w:p w14:paraId="188DDF71">
      <w:pPr>
        <w:numPr>
          <w:ilvl w:val="0"/>
          <w:numId w:val="1"/>
        </w:numPr>
      </w:pPr>
      <w:r>
        <w:rPr>
          <w:rFonts w:hint="eastAsia"/>
        </w:rPr>
        <w:t>人</w:t>
      </w:r>
      <w:r>
        <w:rPr>
          <w:rFonts w:hint="eastAsia"/>
          <w:b/>
        </w:rPr>
        <w:t>单细胞 RNA 测序</w:t>
      </w:r>
      <w:r>
        <w:rPr>
          <w:rFonts w:hint="eastAsia"/>
        </w:rPr>
        <w:t>配合</w:t>
      </w:r>
      <w:r>
        <w:rPr>
          <w:rFonts w:hint="eastAsia"/>
          <w:b/>
        </w:rPr>
        <w:t>配对单细胞 T 细胞受体测序</w:t>
      </w:r>
      <w:r>
        <w:rPr>
          <w:rFonts w:hint="eastAsia"/>
        </w:rPr>
        <w:t>（scRNA/TCR-seq）——即来自同一批细胞的转录组 + 克隆型信息。</w:t>
      </w:r>
    </w:p>
    <w:p w14:paraId="31171BDB">
      <w:pPr>
        <w:numPr>
          <w:ilvl w:val="0"/>
          <w:numId w:val="1"/>
        </w:numPr>
      </w:pPr>
      <w:r>
        <w:rPr>
          <w:rFonts w:hint="eastAsia"/>
          <w:b/>
        </w:rPr>
        <w:t>规模：</w:t>
      </w:r>
      <w:r>
        <w:rPr>
          <w:rFonts w:hint="eastAsia"/>
        </w:rPr>
        <w:t>234 例 NSCLC 患者，新辅助化疗免疫治疗后的手术肿瘤标本。这属于图谱级队列，而非早期 TIME 研究常见的几十例规模。</w:t>
      </w:r>
    </w:p>
    <w:p w14:paraId="2531C566">
      <w:pPr>
        <w:numPr>
          <w:ilvl w:val="0"/>
          <w:numId w:val="1"/>
        </w:numPr>
      </w:pPr>
      <w:r>
        <w:rPr>
          <w:rFonts w:hint="eastAsia"/>
          <w:b/>
        </w:rPr>
        <w:t>衍生数据层：</w:t>
      </w:r>
      <w:r>
        <w:rPr>
          <w:rFonts w:hint="eastAsia"/>
        </w:rPr>
        <w:t>细胞类型 / 细胞状态注释；TIME 亚型归类（五个亚型）；支持克隆扩增分析的 T 细胞克隆型表。</w:t>
      </w:r>
    </w:p>
    <w:p w14:paraId="5FB921C6">
      <w:pPr>
        <w:numPr>
          <w:ilvl w:val="0"/>
          <w:numId w:val="1"/>
        </w:numPr>
      </w:pPr>
      <w:r>
        <w:rPr>
          <w:rFonts w:hint="eastAsia"/>
          <w:b/>
        </w:rPr>
        <w:t>临床数据：</w:t>
      </w:r>
      <w:r>
        <w:rPr>
          <w:rFonts w:hint="eastAsia"/>
        </w:rPr>
        <w:t>主要病理缓解（MPR）状态与无复发生存期，用作应答变量。</w:t>
      </w:r>
    </w:p>
    <w:p w14:paraId="101D199F">
      <w:pPr>
        <w:numPr>
          <w:ilvl w:val="0"/>
          <w:numId w:val="1"/>
        </w:numPr>
      </w:pPr>
      <w:r>
        <w:rPr>
          <w:rFonts w:hint="eastAsia"/>
          <w:b/>
        </w:rPr>
        <w:t>分析流程：</w:t>
      </w:r>
      <w:r>
        <w:rPr>
          <w:rFonts w:hint="eastAsia"/>
        </w:rPr>
        <w:t>无监督聚类与细胞状态注释；五个 TIME 亚型的定义与比较；MPR 与非 MPR 之间细胞状态的差异丰度分析；T 细胞克隆扩增分析；Texp 细胞与生存的关联分析。</w:t>
      </w:r>
    </w:p>
    <w:p w14:paraId="6A72DD00">
      <w:r>
        <w:rPr>
          <w:rFonts w:hint="eastAsia"/>
          <w:i/>
        </w:rPr>
        <w:t>核对说明：摘要中未列出数据仓库编号，因此本文档不声称任何收录号。做任何再分析之前，应先查阅论文正文的 Data availability 部分。</w:t>
      </w:r>
    </w:p>
    <w:p w14:paraId="6116CB10">
      <w:pPr>
        <w:pStyle w:val="4"/>
        <w:keepNext/>
        <w:keepLines/>
        <w:rPr>
          <w:sz w:val="32"/>
          <w:szCs w:val="32"/>
        </w:rPr>
      </w:pPr>
      <w:r>
        <w:rPr>
          <w:rFonts w:hint="eastAsia"/>
        </w:rPr>
        <w:t>问题 3：研究假设</w:t>
      </w:r>
    </w:p>
    <w:p w14:paraId="0CEBA5D6">
      <w:pPr>
        <w:numPr>
          <w:ilvl w:val="0"/>
          <w:numId w:val="1"/>
        </w:numPr>
      </w:pPr>
      <w:r>
        <w:rPr>
          <w:rFonts w:hint="eastAsia"/>
          <w:b/>
        </w:rPr>
        <w:t>H1：</w:t>
      </w:r>
      <w:r>
        <w:rPr>
          <w:rFonts w:hint="eastAsia"/>
        </w:rPr>
        <w:t>化疗免疫治疗后的 NSCLC 肿瘤免疫微环境并非均质，而是可以分解为数量有限、可重复的亚型；这些亚型在 MPR 率上存在系统性差异——也就是说，患者应答的差异反映的是潜在的免疫背景异质性，而非随机噪声。</w:t>
      </w:r>
    </w:p>
    <w:p w14:paraId="260DCFC6">
      <w:pPr>
        <w:numPr>
          <w:ilvl w:val="0"/>
          <w:numId w:val="1"/>
        </w:numPr>
      </w:pPr>
      <w:r>
        <w:rPr>
          <w:rFonts w:hint="eastAsia"/>
          <w:b/>
        </w:rPr>
        <w:t>H2：</w:t>
      </w:r>
      <w:r>
        <w:rPr>
          <w:rFonts w:hint="eastAsia"/>
        </w:rPr>
        <w:t>特定细胞状态以相反方向承载应答信号——FGFBP2⁺ NK / NK 样 T 细胞、记忆 B 细胞与效应 T 细胞在 MPR 患者中富集，而 CCR8⁺ Treg 在非 MPR 患者中富集。</w:t>
      </w:r>
    </w:p>
    <w:p w14:paraId="298EF9BD">
      <w:pPr>
        <w:numPr>
          <w:ilvl w:val="0"/>
          <w:numId w:val="1"/>
        </w:numPr>
      </w:pPr>
      <w:r>
        <w:rPr>
          <w:rFonts w:hint="eastAsia"/>
          <w:b/>
        </w:rPr>
        <w:t>H3（最有分量也最反直觉的主张）：</w:t>
      </w:r>
      <w:r>
        <w:rPr>
          <w:rFonts w:hint="eastAsia"/>
        </w:rPr>
        <w:t>非 MPR 患者本身在克隆格局上也是异质的，并且前体耗竭 CD8⁺ T 细胞（Texp）与无复发生存期相关——由此识别出一个虽未达到 MPR、但复发风险反而较低的亚组。</w:t>
      </w:r>
    </w:p>
    <w:p w14:paraId="02ED4896">
      <w:r>
        <w:rPr>
          <w:rFonts w:hint="eastAsia"/>
          <w:i/>
        </w:rPr>
        <w:t>可证伪边界：人体部分是观察性的、且采样发生在治疗后，因此该设计能建立 TIME 组成与结局之间的关联，但不能证明某个细胞状态导致了应答。由于采样在新辅助治疗之后，观察到的 TIME 已经被治疗塑造，不能直接推回治疗前的基线预测价值。</w:t>
      </w:r>
    </w:p>
    <w:p w14:paraId="4AE84F43">
      <w:pPr>
        <w:pStyle w:val="3"/>
        <w:keepNext/>
        <w:keepLines/>
        <w:rPr>
          <w:sz w:val="32"/>
          <w:szCs w:val="32"/>
        </w:rPr>
      </w:pPr>
      <w:r>
        <w:rPr>
          <w:rFonts w:hint="eastAsia"/>
        </w:rPr>
        <w:t>文献 B — Du 等，PNAS 2026（NSCLC 免疫治疗耐药中的 ALDH9A1–肉碱轴）</w:t>
      </w:r>
    </w:p>
    <w:p w14:paraId="5A8ACAC8">
      <w:pPr>
        <w:pStyle w:val="4"/>
        <w:keepNext/>
        <w:keepLines/>
        <w:rPr>
          <w:sz w:val="32"/>
          <w:szCs w:val="32"/>
        </w:rPr>
      </w:pPr>
      <w:r>
        <w:rPr>
          <w:rFonts w:hint="eastAsia"/>
        </w:rPr>
        <w:t>问题 1：PECO 四要素</w:t>
      </w:r>
    </w:p>
    <w:tbl>
      <w:tblPr>
        <w:tblStyle w:val="7"/>
        <w:tblW w:w="8306" w:type="dxa"/>
        <w:jc w:val="center"/>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Layout w:type="autofit"/>
        <w:tblCellMar>
          <w:top w:w="60" w:type="dxa"/>
          <w:left w:w="90" w:type="dxa"/>
          <w:bottom w:w="60" w:type="dxa"/>
          <w:right w:w="90" w:type="dxa"/>
        </w:tblCellMar>
      </w:tblPr>
      <w:tblGrid>
        <w:gridCol w:w="1993"/>
        <w:gridCol w:w="6313"/>
      </w:tblGrid>
      <w:tr w14:paraId="0E7EEBD1">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tblHeader/>
          <w:jc w:val="center"/>
        </w:trPr>
        <w:tc>
          <w:tcPr>
            <w:tcW w:w="1993" w:type="dxa"/>
            <w:shd w:val="clear" w:color="auto" w:fill="DCE6F1"/>
            <w:vAlign w:val="center"/>
          </w:tcPr>
          <w:p w14:paraId="643D94CE">
            <w:pPr>
              <w:jc w:val="left"/>
              <w:rPr>
                <w:b/>
                <w:bCs/>
              </w:rPr>
            </w:pPr>
            <w:r>
              <w:rPr>
                <w:rFonts w:hint="eastAsia"/>
                <w:b/>
              </w:rPr>
              <w:t>PECO 要素</w:t>
            </w:r>
          </w:p>
        </w:tc>
        <w:tc>
          <w:tcPr>
            <w:tcW w:w="6313" w:type="dxa"/>
            <w:shd w:val="clear" w:color="auto" w:fill="DCE6F1"/>
            <w:vAlign w:val="center"/>
          </w:tcPr>
          <w:p w14:paraId="05B61D7A">
            <w:pPr>
              <w:jc w:val="left"/>
              <w:rPr>
                <w:b/>
                <w:bCs/>
              </w:rPr>
            </w:pPr>
            <w:r>
              <w:rPr>
                <w:rFonts w:hint="eastAsia"/>
                <w:b/>
              </w:rPr>
              <w:t>本研究中的界定</w:t>
            </w:r>
          </w:p>
        </w:tc>
      </w:tr>
      <w:tr w14:paraId="28D21CC7">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3114C5B0">
            <w:r>
              <w:rPr>
                <w:rFonts w:hint="eastAsia"/>
                <w:b/>
              </w:rPr>
              <w:t>人群（P）</w:t>
            </w:r>
          </w:p>
        </w:tc>
        <w:tc>
          <w:tcPr>
            <w:tcW w:w="6313" w:type="dxa"/>
            <w:vAlign w:val="center"/>
          </w:tcPr>
          <w:p w14:paraId="1B5AFA7E">
            <w:r>
              <w:rPr>
                <w:rFonts w:hint="eastAsia"/>
              </w:rPr>
              <w:t>NSCLC——用单细胞多组学方法检测的人肿瘤组织，以及 NSCLC 小鼠模型（同时包含免疫健全与免疫缺陷品系）。</w:t>
            </w:r>
          </w:p>
        </w:tc>
      </w:tr>
      <w:tr w14:paraId="5EAAC1D7">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719CCCAD">
            <w:r>
              <w:rPr>
                <w:rFonts w:hint="eastAsia"/>
                <w:b/>
              </w:rPr>
              <w:t>暴露（E）</w:t>
            </w:r>
          </w:p>
        </w:tc>
        <w:tc>
          <w:tcPr>
            <w:tcW w:w="6313" w:type="dxa"/>
            <w:vAlign w:val="center"/>
          </w:tcPr>
          <w:p w14:paraId="40AB1690">
            <w:r>
              <w:rPr>
                <w:rFonts w:hint="eastAsia"/>
              </w:rPr>
              <w:t>肿瘤细胞 ALDH9A1 的表达/活性，其作用链条为：肉碱生成 → 乙酰辅酶 A 升高 → 染色质开放性重塑 → Il1b 超级增强子激活 → MDSC 极化与 CD8⁺ T 细胞耗竭。实验性暴露还包括：ALDH9A1 的遗传或药物抑制、以及 IL-1β 抗体中和。</w:t>
            </w:r>
          </w:p>
        </w:tc>
      </w:tr>
      <w:tr w14:paraId="1617F3B3">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62CD2E57">
            <w:r>
              <w:rPr>
                <w:rFonts w:hint="eastAsia"/>
                <w:b/>
              </w:rPr>
              <w:t>比较（C）</w:t>
            </w:r>
          </w:p>
        </w:tc>
        <w:tc>
          <w:tcPr>
            <w:tcW w:w="6313" w:type="dxa"/>
            <w:vAlign w:val="center"/>
          </w:tcPr>
          <w:p w14:paraId="60879A04">
            <w:r>
              <w:rPr>
                <w:rFonts w:hint="eastAsia"/>
              </w:rPr>
              <w:t>ALDH9A1 高表达 vs. 低表达肿瘤；ALDH9A1 敲除/抑制 vs. 对照；抗 PD-1 单用 vs. 抗 PD-1 联合 ALDH9A1 抑制或 IL-1β 中和；免疫健全 vs. 免疫缺陷小鼠；以及在患者层面，抗 PD-1 应答差 vs. 应答好。</w:t>
            </w:r>
          </w:p>
        </w:tc>
      </w:tr>
      <w:tr w14:paraId="1A5026E9">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24A2D757">
            <w:r>
              <w:rPr>
                <w:rFonts w:hint="eastAsia"/>
                <w:b/>
              </w:rPr>
              <w:t>结局（O）</w:t>
            </w:r>
          </w:p>
        </w:tc>
        <w:tc>
          <w:tcPr>
            <w:tcW w:w="6313" w:type="dxa"/>
            <w:vAlign w:val="center"/>
          </w:tcPr>
          <w:p w14:paraId="25747E95">
            <w:r>
              <w:rPr>
                <w:rFonts w:hint="eastAsia"/>
              </w:rPr>
              <w:t>肿瘤生长；CD8⁺ T 细胞耗竭；促肿瘤 MDSC 的聚集；三级淋巴结构（TLS）成熟；染色质开放性与 Il1b 超级增强子活性；对抗 PD-1 治疗的敏感性；以及患者对抗 PD-1 的应答。</w:t>
            </w:r>
          </w:p>
        </w:tc>
      </w:tr>
      <w:tr w14:paraId="2DDFEF5C">
        <w:tblPrEx>
          <w:tblBorders>
            <w:top w:val="single" w:color="AFC0D2" w:sz="4" w:space="0"/>
            <w:left w:val="single" w:color="AFC0D2" w:sz="4" w:space="0"/>
            <w:bottom w:val="single" w:color="AFC0D2" w:sz="4" w:space="0"/>
            <w:right w:val="single" w:color="AFC0D2" w:sz="4" w:space="0"/>
            <w:insideH w:val="single" w:color="AFC0D2" w:sz="4" w:space="0"/>
            <w:insideV w:val="single" w:color="AFC0D2" w:sz="4" w:space="0"/>
          </w:tblBorders>
          <w:tblCellMar>
            <w:top w:w="60" w:type="dxa"/>
            <w:left w:w="90" w:type="dxa"/>
            <w:bottom w:w="60" w:type="dxa"/>
            <w:right w:w="90" w:type="dxa"/>
          </w:tblCellMar>
        </w:tblPrEx>
        <w:trPr>
          <w:jc w:val="center"/>
        </w:trPr>
        <w:tc>
          <w:tcPr>
            <w:tcW w:w="1993" w:type="dxa"/>
            <w:vAlign w:val="center"/>
          </w:tcPr>
          <w:p w14:paraId="720019F4">
            <w:r>
              <w:rPr>
                <w:rFonts w:hint="eastAsia"/>
                <w:b/>
              </w:rPr>
              <w:t>关键协变量</w:t>
            </w:r>
          </w:p>
        </w:tc>
        <w:tc>
          <w:tcPr>
            <w:tcW w:w="6313" w:type="dxa"/>
            <w:vAlign w:val="center"/>
          </w:tcPr>
          <w:p w14:paraId="05BC8CBA">
            <w:r>
              <w:rPr>
                <w:rFonts w:hint="eastAsia"/>
              </w:rPr>
              <w:t>宿主的免疫状态是决定性的设计变量——ALDH9A1 缺失导致的生长抑制表型只在免疫健全小鼠中出现、在免疫缺陷小鼠中不出现，这正是该效应属于免疫介导而非单纯肿瘤自主性的证据。患者层面的临床协变量在摘要中未逐项列出。</w:t>
            </w:r>
          </w:p>
        </w:tc>
      </w:tr>
    </w:tbl>
    <w:p w14:paraId="0C0208C2">
      <w:pPr>
        <w:pStyle w:val="4"/>
        <w:keepNext/>
        <w:keepLines/>
        <w:rPr>
          <w:sz w:val="32"/>
          <w:szCs w:val="32"/>
        </w:rPr>
      </w:pPr>
      <w:r>
        <w:rPr>
          <w:rFonts w:hint="eastAsia"/>
        </w:rPr>
        <w:t>问题 2：数据集与数据类型</w:t>
      </w:r>
    </w:p>
    <w:p w14:paraId="74AED047">
      <w:pPr>
        <w:numPr>
          <w:ilvl w:val="0"/>
          <w:numId w:val="1"/>
        </w:numPr>
      </w:pPr>
      <w:r>
        <w:rPr>
          <w:rFonts w:hint="eastAsia"/>
        </w:rPr>
        <w:t>真正的多组学：在 NSCLC 肿瘤上整合了五类模态——CODEX（高度多重空间蛋白成像）、代谢组学、CyTOF（质谱流式）、ATAC-seq（染色质开放性）、以及单细胞空间转录组。</w:t>
      </w:r>
    </w:p>
    <w:p w14:paraId="46E5E5C3">
      <w:pPr>
        <w:numPr>
          <w:ilvl w:val="0"/>
          <w:numId w:val="1"/>
        </w:numPr>
      </w:pPr>
      <w:r>
        <w:rPr>
          <w:rFonts w:hint="eastAsia"/>
        </w:rPr>
        <w:t>以人肿瘤组织作为发现材料，用小鼠模型进行体内扰动（ALDH9A1 遗传缺失、药物抑制、IL-1β 中和抗体）。</w:t>
      </w:r>
    </w:p>
    <w:p w14:paraId="6DC2A489">
      <w:pPr>
        <w:numPr>
          <w:ilvl w:val="0"/>
          <w:numId w:val="1"/>
        </w:numPr>
      </w:pPr>
      <w:r>
        <w:rPr>
          <w:rFonts w:hint="eastAsia"/>
          <w:b/>
        </w:rPr>
        <w:t>机制层面：</w:t>
      </w:r>
      <w:r>
        <w:rPr>
          <w:rFonts w:hint="eastAsia"/>
        </w:rPr>
        <w:t>把代谢与转录连接起来的染色质开放性（ATAC-seq）与超级增强子活性；代谢物测定（肉碱）；以及免疫读数（MDSC 极化、CD8⁺ T 细胞耗竭、三级淋巴结构成熟）。</w:t>
      </w:r>
    </w:p>
    <w:p w14:paraId="37E646BD">
      <w:pPr>
        <w:numPr>
          <w:ilvl w:val="0"/>
          <w:numId w:val="1"/>
        </w:numPr>
      </w:pPr>
      <w:r>
        <w:rPr>
          <w:rFonts w:hint="eastAsia"/>
          <w:b/>
        </w:rPr>
        <w:t>空间维度：</w:t>
      </w:r>
      <w:r>
        <w:rPr>
          <w:rFonts w:hint="eastAsia"/>
        </w:rPr>
        <w:t>CODEX 加单细胞空间转录组，因此细胞状态是被定位的，而不是仅从解离细胞中推断。</w:t>
      </w:r>
    </w:p>
    <w:p w14:paraId="1B6BABC1">
      <w:pPr>
        <w:numPr>
          <w:ilvl w:val="0"/>
          <w:numId w:val="1"/>
        </w:numPr>
      </w:pPr>
      <w:r>
        <w:rPr>
          <w:rFonts w:hint="eastAsia"/>
          <w:b/>
        </w:rPr>
        <w:t>临床相关性：</w:t>
      </w:r>
      <w:r>
        <w:rPr>
          <w:rFonts w:hint="eastAsia"/>
        </w:rPr>
        <w:t>在 NSCLC 患者中测定 ALDH9A1/IL-1β 轴活性并与抗 PD-1 应答关联，把小鼠机制重新锚定回人体结局。</w:t>
      </w:r>
    </w:p>
    <w:p w14:paraId="7C565534">
      <w:r>
        <w:rPr>
          <w:rFonts w:hint="eastAsia"/>
          <w:i/>
        </w:rPr>
        <w:t>核对说明：摘要中未列出数据仓库编号，因此本文档不声称任何收录号。</w:t>
      </w:r>
    </w:p>
    <w:p w14:paraId="7ECD7961">
      <w:pPr>
        <w:pStyle w:val="4"/>
        <w:keepNext/>
        <w:keepLines/>
        <w:rPr>
          <w:sz w:val="32"/>
          <w:szCs w:val="32"/>
        </w:rPr>
      </w:pPr>
      <w:r>
        <w:rPr>
          <w:rFonts w:hint="eastAsia"/>
        </w:rPr>
        <w:t>问题 3：研究假设</w:t>
      </w:r>
    </w:p>
    <w:p w14:paraId="46EF78F7">
      <w:pPr>
        <w:numPr>
          <w:ilvl w:val="0"/>
          <w:numId w:val="1"/>
        </w:numPr>
      </w:pPr>
      <w:r>
        <w:rPr>
          <w:rFonts w:hint="eastAsia"/>
          <w:b/>
        </w:rPr>
        <w:t>H1：</w:t>
      </w:r>
      <w:r>
        <w:rPr>
          <w:rFonts w:hint="eastAsia"/>
        </w:rPr>
        <w:t>肿瘤细胞自身的 ALDH9A1 促进抗 PD-1 治疗耐药，且这种耐药是免疫介导的——因此 ALDH9A1 缺失只在免疫健全小鼠中抑制肿瘤生长，在免疫缺陷小鼠中则不然。</w:t>
      </w:r>
    </w:p>
    <w:p w14:paraId="7A165525">
      <w:pPr>
        <w:numPr>
          <w:ilvl w:val="0"/>
          <w:numId w:val="1"/>
        </w:numPr>
      </w:pPr>
      <w:r>
        <w:rPr>
          <w:rFonts w:hint="eastAsia"/>
          <w:b/>
        </w:rPr>
        <w:t>H2（机制链条）：</w:t>
      </w:r>
      <w:r>
        <w:rPr>
          <w:rFonts w:hint="eastAsia"/>
        </w:rPr>
        <w:t>ALDH9A1 驱动的肉碱生成提高乙酰辅酶 A 水平、重塑染色质开放性、激活肿瘤细胞中 Il1b 的超级增强子，进而促进 MDSC 极化并导致 CD8⁺ T 细胞耗竭，同时抑制三级淋巴结构的成熟。</w:t>
      </w:r>
    </w:p>
    <w:p w14:paraId="65EEC653">
      <w:pPr>
        <w:numPr>
          <w:ilvl w:val="0"/>
          <w:numId w:val="1"/>
        </w:numPr>
      </w:pPr>
      <w:r>
        <w:rPr>
          <w:rFonts w:hint="eastAsia"/>
          <w:b/>
        </w:rPr>
        <w:t>H3（治疗主张）：</w:t>
      </w:r>
      <w:r>
        <w:rPr>
          <w:rFonts w:hint="eastAsia"/>
        </w:rPr>
        <w:t>打断这个环路可以恢复敏感性——遗传或药物抑制 ALDH9A1、或用 IL-1β 中和抗体，都能抑制肿瘤进展并使肿瘤重新对抗 PD-1 敏感。作者还提出一个正反馈环路：IL-1β 激活 NF-κB 并上调 ALDH9A1。</w:t>
      </w:r>
    </w:p>
    <w:p w14:paraId="1F674EFF">
      <w:pPr>
        <w:numPr>
          <w:ilvl w:val="0"/>
          <w:numId w:val="1"/>
        </w:numPr>
      </w:pPr>
      <w:r>
        <w:rPr>
          <w:rFonts w:hint="eastAsia"/>
          <w:b/>
        </w:rPr>
        <w:t>H4（转化主张）：</w:t>
      </w:r>
      <w:r>
        <w:rPr>
          <w:rFonts w:hint="eastAsia"/>
        </w:rPr>
        <w:t>ALDH9A1/IL-1β 轴在 NSCLC 患者中频繁过度激活，并与较差的抗 PD-1 应答相关，使 ALDH9A1 成为一个有前景的治疗靶点。</w:t>
      </w:r>
    </w:p>
    <w:p w14:paraId="19AE5B91">
      <w:r>
        <w:rPr>
          <w:rFonts w:hint="eastAsia"/>
          <w:i/>
        </w:rPr>
        <w:t>强度说明：这是本作业四篇文献中唯一包含主动扰动实验的，因此它能在小鼠模型中支持因果性主张。但人体证据仍是相关性的——该轴只是“与”较差应答相关，因此治疗主张在患者中尚未确立。</w:t>
      </w:r>
    </w:p>
    <w:p w14:paraId="3C197323">
      <w:pPr>
        <w:pStyle w:val="3"/>
        <w:keepNext/>
        <w:keepLines/>
        <w:rPr>
          <w:sz w:val="32"/>
          <w:szCs w:val="32"/>
        </w:rPr>
      </w:pPr>
      <w:r>
        <w:rPr>
          <w:rFonts w:hint="eastAsia"/>
        </w:rPr>
        <w:t>5. 证据综合</w:t>
      </w:r>
    </w:p>
    <w:p w14:paraId="6963972C">
      <w:pPr>
        <w:pStyle w:val="4"/>
        <w:keepNext/>
        <w:keepLines/>
        <w:rPr>
          <w:sz w:val="32"/>
          <w:szCs w:val="32"/>
        </w:rPr>
      </w:pPr>
      <w:r>
        <w:rPr>
          <w:rFonts w:hint="eastAsia"/>
        </w:rPr>
        <w:t>共识</w:t>
      </w:r>
    </w:p>
    <w:p w14:paraId="0545ABEA">
      <w:r>
        <w:rPr>
          <w:rFonts w:hint="eastAsia"/>
        </w:rPr>
        <w:t>两篇文献都同意：PD-1 阻断的应答与耐药无法用任何单一细胞类型或标志物解释，必须以细胞状态分辨率去刻画肿瘤免疫微环境。二者都把 CD8⁺ T 细胞耗竭视为核心现象，并且都以接受抗 PD-1 治疗的 NSCLC 为模型——因此两篇是直接可比，而不仅仅是相邻。</w:t>
      </w:r>
    </w:p>
    <w:p w14:paraId="18A3BB10">
      <w:pPr>
        <w:pStyle w:val="4"/>
        <w:keepNext/>
        <w:keepLines/>
        <w:rPr>
          <w:sz w:val="32"/>
          <w:szCs w:val="32"/>
        </w:rPr>
      </w:pPr>
      <w:r>
        <w:rPr>
          <w:rFonts w:hint="eastAsia"/>
        </w:rPr>
        <w:t>互补而非矛盾</w:t>
      </w:r>
    </w:p>
    <w:p w14:paraId="4918548F">
      <w:r>
        <w:rPr>
          <w:rFonts w:hint="eastAsia"/>
        </w:rPr>
        <w:t>两篇回答的是同一问题的不同半边。文献 A 是发现型、规模化的，在人体中做观察：它以图谱级规模界定了哪些免疫构型伴随应答，并发现在未达到 MPR 的患者中，前体耗竭细胞仍与无复发生存期相关。文献 B 是机制型、基于扰动的：它解释了某一条耐药程序从何而来，从肿瘤自身的代谢酶一路追到染色质状态、再到髓系极化与 T 细胞耗竭。两者并不冲突——A 提供应答的分类学，B 提供通往其中的因果路径。</w:t>
      </w:r>
    </w:p>
    <w:p w14:paraId="6C87AFE8">
      <w:pPr>
        <w:pStyle w:val="4"/>
        <w:keepNext/>
        <w:keepLines/>
        <w:rPr>
          <w:sz w:val="32"/>
          <w:szCs w:val="32"/>
        </w:rPr>
      </w:pPr>
      <w:r>
        <w:rPr>
          <w:rFonts w:hint="eastAsia"/>
        </w:rPr>
        <w:t>分歧与不确定性</w:t>
      </w:r>
    </w:p>
    <w:p w14:paraId="2C0EB8C8">
      <w:pPr>
        <w:numPr>
          <w:ilvl w:val="0"/>
          <w:numId w:val="1"/>
        </w:numPr>
      </w:pPr>
      <w:r>
        <w:rPr>
          <w:rFonts w:hint="eastAsia"/>
          <w:b/>
        </w:rPr>
        <w:t>临床上到底哪个耗竭亚群更重要，尚无定论。</w:t>
      </w:r>
      <w:r>
        <w:rPr>
          <w:rFonts w:hint="eastAsia"/>
        </w:rPr>
        <w:t>文献 A 发现是 Texp 而非终末 Tex 与无复发生存期相关，这让“耗竭越重＝结局越差”这一常见读法变得复杂。</w:t>
      </w:r>
    </w:p>
    <w:p w14:paraId="4BF13F32">
      <w:pPr>
        <w:numPr>
          <w:ilvl w:val="0"/>
          <w:numId w:val="1"/>
        </w:numPr>
      </w:pPr>
      <w:r>
        <w:rPr>
          <w:rFonts w:hint="eastAsia"/>
          <w:b/>
        </w:rPr>
        <w:t>人体数据中的因果方向未解决。</w:t>
      </w:r>
      <w:r>
        <w:rPr>
          <w:rFonts w:hint="eastAsia"/>
        </w:rPr>
        <w:t>文献 B 把驱动因素定位在肿瘤细胞侧（ALDH9A1–肉碱–染色质程序），这就把 T 细胞耗竭重新定义为肿瘤自身状态的下游结果，而不是耐药的首要原因。耗竭究竟是驱动因素、生物标志物，还是两者兼有，仍然开放。</w:t>
      </w:r>
    </w:p>
    <w:p w14:paraId="237A8263">
      <w:pPr>
        <w:numPr>
          <w:ilvl w:val="0"/>
          <w:numId w:val="1"/>
        </w:numPr>
      </w:pPr>
      <w:r>
        <w:rPr>
          <w:rFonts w:hint="eastAsia"/>
          <w:b/>
        </w:rPr>
        <w:t>两者的人体部分都是相关性研究。</w:t>
      </w:r>
      <w:r>
        <w:rPr>
          <w:rFonts w:hint="eastAsia"/>
        </w:rPr>
        <w:t>文献 A 在新辅助治疗之后采样，因此它描述的 TIME 已被治疗塑造，不进一步工作就不能当作基线预测因子来读。</w:t>
      </w:r>
    </w:p>
    <w:p w14:paraId="20341E48">
      <w:pPr>
        <w:numPr>
          <w:ilvl w:val="0"/>
          <w:numId w:val="1"/>
        </w:numPr>
      </w:pPr>
      <w:r>
        <w:rPr>
          <w:rFonts w:hint="eastAsia"/>
        </w:rPr>
        <w:t>目前还没有研究在同一批患者中同时建模 TIME 组成与肿瘤自身代谢状态，并且配对了治疗前/治疗后样本；克隆型 TCR 信息也很少与空间背景结合。</w:t>
      </w:r>
    </w:p>
    <w:p w14:paraId="5BFA32C2">
      <w:pPr>
        <w:pStyle w:val="4"/>
        <w:keepNext/>
        <w:keepLines/>
        <w:rPr>
          <w:sz w:val="32"/>
          <w:szCs w:val="32"/>
        </w:rPr>
      </w:pPr>
      <w:r>
        <w:rPr>
          <w:rFonts w:hint="eastAsia"/>
        </w:rPr>
        <w:t>研究空白</w:t>
      </w:r>
    </w:p>
    <w:p w14:paraId="244E09E6">
      <w:r>
        <w:rPr>
          <w:rFonts w:hint="eastAsia"/>
        </w:rPr>
        <w:t>尚未解决的具体问题是：免疫背景分类学与肿瘤自身代谢耐药程序是被平行研究的，而不是放在一起研究的。因此，一个复合特征是否优于任一单一特征，以及 Texp 与无复发生存期的关联在校正肿瘤细胞代谢状态后是否仍然存在，都属未知。这一点很关键，因为它决定了一个可用于临床的生物标志物是只需要免疫读数，还是必须把免疫特征与肿瘤自身特征结合起来。</w:t>
      </w:r>
    </w:p>
    <w:p w14:paraId="74D0724F">
      <w:pPr>
        <w:pStyle w:val="4"/>
        <w:keepNext/>
        <w:keepLines/>
        <w:rPr>
          <w:sz w:val="32"/>
          <w:szCs w:val="32"/>
        </w:rPr>
      </w:pPr>
      <w:r>
        <w:rPr>
          <w:rFonts w:hint="eastAsia"/>
        </w:rPr>
        <w:t>精化后的假设</w:t>
      </w:r>
    </w:p>
    <w:p w14:paraId="6E470A00">
      <w:r>
        <w:rPr>
          <w:rFonts w:hint="eastAsia"/>
          <w:b/>
        </w:rPr>
        <w:t>在带有 MPR 与无复发生存期元数据的 NSCLC scRNA/TCR-seq 队列中，由“高 Texp 丰度”与“低肿瘤细胞 ALDH9A1 / 肉碱程序活性”共同定义的复合特征，能够识别出获得持久获益的患者，并且优于其中任一单独特征。</w:t>
      </w:r>
    </w:p>
    <w:p w14:paraId="2573AC28">
      <w:bookmarkStart w:id="0" w:name="_GoBack"/>
      <w:bookmarkEnd w:id="0"/>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isplayHorizontalDrawingGridEvery w:val="1"/>
  <w:displayVerticalDrawingGridEvery w:val="1"/>
  <w:noPunctuationKerning w:val="1"/>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000000"/>
    <w:rsid w:val="52DF03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9"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left"/>
    </w:pPr>
    <w:rPr>
      <w:sz w:val="21"/>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Subtitle"/>
    <w:basedOn w:val="1"/>
    <w:next w:val="1"/>
    <w:qFormat/>
    <w:uiPriority w:val="9"/>
    <w:pPr>
      <w:keepNext/>
      <w:keepLines/>
      <w:spacing w:before="0" w:after="0" w:line="408" w:lineRule="auto"/>
      <w:jc w:val="center"/>
      <w:outlineLvl w:val="1"/>
    </w:pPr>
    <w:rPr>
      <w:b/>
      <w:bCs/>
      <w:color w:val="5C5C5C"/>
      <w:sz w:val="36"/>
      <w:szCs w:val="36"/>
    </w:rPr>
  </w:style>
  <w:style w:type="paragraph" w:styleId="6">
    <w:name w:val="Title"/>
    <w:basedOn w:val="1"/>
    <w:next w:val="1"/>
    <w:qFormat/>
    <w:uiPriority w:val="9"/>
    <w:pPr>
      <w:keepNext/>
      <w:keepLines/>
      <w:spacing w:before="0" w:after="0" w:line="408" w:lineRule="auto"/>
      <w:jc w:val="center"/>
      <w:outlineLvl w:val="0"/>
    </w:pPr>
    <w:rPr>
      <w:b/>
      <w:bCs/>
      <w:color w:val="1A1A1A"/>
      <w:sz w:val="48"/>
      <w:szCs w:val="4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2158</Words>
  <Characters>3004</Characters>
  <TotalTime>3</TotalTime>
  <ScaleCrop>false</ScaleCrop>
  <LinksUpToDate>false</LinksUpToDate>
  <CharactersWithSpaces>3276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2026-09-04T23:00:00Z</dcterms:created>
  <dc:creator>jinyu</dc:creator>
  <cp:lastModifiedBy>JYLH</cp:lastModifiedBy>
  <dcterms:modified xsi:type="dcterms:W3CDTF">2026-09-06T09:55:53Z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eyJoZGlkIjoiNjNlNWZkOWNlYzZlYmQwNDBjYzNmOWEwZjYxZGZjNjciLCJ1c2VySWQiOiI3NDY4NzU1MTMifQ==</vt:lpwstr>
  </property>
  <property fmtid="{D5CDD505-2E9C-101B-9397-08002B2CF9AE}" pid="3" name="KSOProductBuildVer">
    <vt:lpwstr>2052-12.1.0.28043</vt:lpwstr>
  </property>
  <property fmtid="{D5CDD505-2E9C-101B-9397-08002B2CF9AE}" pid="4" name="ICV">
    <vt:lpwstr>433FDF8E5B2244FD8392B7D7C4C09A48_12</vt:lpwstr>
  </property>
</Properties>
</file>