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C1D30">
      <w:pPr>
        <w:pStyle w:val="31"/>
      </w:pPr>
      <w:r>
        <w:t>Week 6 — 16S Microbiome Analysis Report</w:t>
      </w:r>
    </w:p>
    <w:p w14:paraId="07BA189D">
      <w:pPr>
        <w:rPr>
          <w:rFonts w:hint="eastAsia" w:eastAsia="宋体"/>
          <w:i/>
          <w:lang w:val="en-US" w:eastAsia="zh-CN"/>
        </w:rPr>
      </w:pPr>
      <w:r>
        <w:rPr>
          <w:rFonts w:hint="eastAsia" w:eastAsia="宋体"/>
          <w:i/>
          <w:lang w:val="en-US" w:eastAsia="zh-CN"/>
        </w:rPr>
        <w:t xml:space="preserve">罗涵  SUAT24000110 </w:t>
      </w:r>
    </w:p>
    <w:p w14:paraId="29070B46">
      <w:bookmarkStart w:id="0" w:name="_GoBack"/>
      <w:bookmarkEnd w:id="0"/>
      <w:r>
        <w:rPr>
          <w:i/>
        </w:rPr>
        <w:t xml:space="preserve"> 2026-09-23</w:t>
      </w:r>
    </w:p>
    <w:p w14:paraId="42C256F8">
      <w:pPr>
        <w:pStyle w:val="3"/>
      </w:pPr>
      <w:r>
        <w:t>1. Data &amp; Design</w:t>
      </w:r>
    </w:p>
    <w:p w14:paraId="1662B261">
      <w:r>
        <w:rPr>
          <w:b w:val="0"/>
        </w:rPr>
        <w:t>Input: tests/16S_level-7.csv (species-level) + 16S_mapping.csv. 132 sample columns → 2 ungrouped K_XYL samples dropped → 130 grouped samples across 66 patients in a paired longitudinal design (each patient has a _01 before and _02 after sample). Groups: IBS_before 36, IBS_after 36, UC_before 29, UC_after 29. Collapsed to 137 genera.</w:t>
      </w:r>
    </w:p>
    <w:p w14:paraId="0406164B">
      <w:r>
        <w:rPr>
          <w:b w:val="0"/>
        </w:rPr>
        <w:t>Workflow: import (tax, Species) → prepare taxonomy → Genus → alpha → beta (Bray–Curtis PCoA/PCA/NMDS) → visualize → differential (wilcox) → interpret. Executed via the EMP-web backend engine; 'interpret' statistics use paired Wilcoxon, PERMANOVA and effect sizes.</w:t>
      </w:r>
    </w:p>
    <w:p w14:paraId="3169BFCC">
      <w:pPr>
        <w:pStyle w:val="3"/>
      </w:pPr>
      <w:r>
        <w:t>2. Alpha Diversity (Shannon, paired Wilcoxon signed-rank)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2D1A9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BA3831">
            <w:pPr>
              <w:spacing w:after="0" w:line="240" w:lineRule="auto"/>
            </w:pPr>
            <w:r>
              <w:t>Disease</w:t>
            </w:r>
          </w:p>
        </w:tc>
        <w:tc>
          <w:tcPr>
            <w:tcW w:w="1728" w:type="dxa"/>
          </w:tcPr>
          <w:p w14:paraId="0BE0E29F">
            <w:pPr>
              <w:spacing w:after="0" w:line="240" w:lineRule="auto"/>
            </w:pPr>
            <w:r>
              <w:t>before (mean)</w:t>
            </w:r>
          </w:p>
        </w:tc>
        <w:tc>
          <w:tcPr>
            <w:tcW w:w="1728" w:type="dxa"/>
          </w:tcPr>
          <w:p w14:paraId="2D1B352C">
            <w:pPr>
              <w:spacing w:after="0" w:line="240" w:lineRule="auto"/>
            </w:pPr>
            <w:r>
              <w:t>after (mean)</w:t>
            </w:r>
          </w:p>
        </w:tc>
        <w:tc>
          <w:tcPr>
            <w:tcW w:w="1728" w:type="dxa"/>
          </w:tcPr>
          <w:p w14:paraId="07D3815C">
            <w:pPr>
              <w:spacing w:after="0" w:line="240" w:lineRule="auto"/>
            </w:pPr>
            <w:r>
              <w:t>median Δ</w:t>
            </w:r>
          </w:p>
        </w:tc>
        <w:tc>
          <w:tcPr>
            <w:tcW w:w="1728" w:type="dxa"/>
          </w:tcPr>
          <w:p w14:paraId="487116F7">
            <w:pPr>
              <w:spacing w:after="0" w:line="240" w:lineRule="auto"/>
            </w:pPr>
            <w:r>
              <w:t>p</w:t>
            </w:r>
          </w:p>
        </w:tc>
      </w:tr>
      <w:tr w14:paraId="123BEF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2E0FAC">
            <w:pPr>
              <w:spacing w:after="0" w:line="240" w:lineRule="auto"/>
            </w:pPr>
            <w:r>
              <w:t>IBS</w:t>
            </w:r>
          </w:p>
        </w:tc>
        <w:tc>
          <w:tcPr>
            <w:tcW w:w="1728" w:type="dxa"/>
          </w:tcPr>
          <w:p w14:paraId="5164517F">
            <w:pPr>
              <w:spacing w:after="0" w:line="240" w:lineRule="auto"/>
            </w:pPr>
            <w:r>
              <w:t>1.664</w:t>
            </w:r>
          </w:p>
        </w:tc>
        <w:tc>
          <w:tcPr>
            <w:tcW w:w="1728" w:type="dxa"/>
          </w:tcPr>
          <w:p w14:paraId="699AF429">
            <w:pPr>
              <w:spacing w:after="0" w:line="240" w:lineRule="auto"/>
            </w:pPr>
            <w:r>
              <w:t>1.589</w:t>
            </w:r>
          </w:p>
        </w:tc>
        <w:tc>
          <w:tcPr>
            <w:tcW w:w="1728" w:type="dxa"/>
          </w:tcPr>
          <w:p w14:paraId="5985AB1E">
            <w:pPr>
              <w:spacing w:after="0" w:line="240" w:lineRule="auto"/>
            </w:pPr>
            <w:r>
              <w:t>-0.079</w:t>
            </w:r>
          </w:p>
        </w:tc>
        <w:tc>
          <w:tcPr>
            <w:tcW w:w="1728" w:type="dxa"/>
          </w:tcPr>
          <w:p w14:paraId="4444E495">
            <w:pPr>
              <w:spacing w:after="0" w:line="240" w:lineRule="auto"/>
            </w:pPr>
            <w:r>
              <w:t>0.177</w:t>
            </w:r>
          </w:p>
        </w:tc>
      </w:tr>
      <w:tr w14:paraId="67F3FD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ECB070">
            <w:pPr>
              <w:spacing w:after="0" w:line="240" w:lineRule="auto"/>
            </w:pPr>
            <w:r>
              <w:t>UC</w:t>
            </w:r>
          </w:p>
        </w:tc>
        <w:tc>
          <w:tcPr>
            <w:tcW w:w="1728" w:type="dxa"/>
          </w:tcPr>
          <w:p w14:paraId="4C50EE0F">
            <w:pPr>
              <w:spacing w:after="0" w:line="240" w:lineRule="auto"/>
            </w:pPr>
            <w:r>
              <w:t>1.616</w:t>
            </w:r>
          </w:p>
        </w:tc>
        <w:tc>
          <w:tcPr>
            <w:tcW w:w="1728" w:type="dxa"/>
          </w:tcPr>
          <w:p w14:paraId="332589A0">
            <w:pPr>
              <w:spacing w:after="0" w:line="240" w:lineRule="auto"/>
            </w:pPr>
            <w:r>
              <w:t>1.468</w:t>
            </w:r>
          </w:p>
        </w:tc>
        <w:tc>
          <w:tcPr>
            <w:tcW w:w="1728" w:type="dxa"/>
          </w:tcPr>
          <w:p w14:paraId="0959DA27">
            <w:pPr>
              <w:spacing w:after="0" w:line="240" w:lineRule="auto"/>
            </w:pPr>
            <w:r>
              <w:t>-0.121</w:t>
            </w:r>
          </w:p>
        </w:tc>
        <w:tc>
          <w:tcPr>
            <w:tcW w:w="1728" w:type="dxa"/>
          </w:tcPr>
          <w:p w14:paraId="6F575130">
            <w:pPr>
              <w:spacing w:after="0" w:line="240" w:lineRule="auto"/>
            </w:pPr>
            <w:r>
              <w:t>0.023*</w:t>
            </w:r>
          </w:p>
        </w:tc>
      </w:tr>
    </w:tbl>
    <w:p w14:paraId="3BE54BF3">
      <w:r>
        <w:rPr>
          <w:b w:val="0"/>
        </w:rPr>
        <w:t>UC shows a significant Shannon-diversity loss after treatment (p=0.023); IBS no change (p=0.18). Observed-species paired p=0.98 (UC) → the change is evenness, not species richness.</w:t>
      </w:r>
    </w:p>
    <w:p w14:paraId="6D22BE76">
      <w:r>
        <w:drawing>
          <wp:inline distT="0" distB="0" distL="114300" distR="114300">
            <wp:extent cx="4754880" cy="33959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B997">
      <w:pPr>
        <w:pStyle w:val="3"/>
      </w:pPr>
      <w:r>
        <w:t>3. Beta Diversity (Bray–Curtis)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23EC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AD555C">
            <w:pPr>
              <w:spacing w:after="0" w:line="240" w:lineRule="auto"/>
            </w:pPr>
            <w:r>
              <w:t>Model</w:t>
            </w:r>
          </w:p>
        </w:tc>
        <w:tc>
          <w:tcPr>
            <w:tcW w:w="2160" w:type="dxa"/>
          </w:tcPr>
          <w:p w14:paraId="54C059C8">
            <w:pPr>
              <w:spacing w:after="0" w:line="240" w:lineRule="auto"/>
            </w:pPr>
            <w:r>
              <w:t>R²</w:t>
            </w:r>
          </w:p>
        </w:tc>
        <w:tc>
          <w:tcPr>
            <w:tcW w:w="2160" w:type="dxa"/>
          </w:tcPr>
          <w:p w14:paraId="436B272C">
            <w:pPr>
              <w:spacing w:after="0" w:line="240" w:lineRule="auto"/>
            </w:pPr>
            <w:r>
              <w:t>F</w:t>
            </w:r>
          </w:p>
        </w:tc>
        <w:tc>
          <w:tcPr>
            <w:tcW w:w="2160" w:type="dxa"/>
          </w:tcPr>
          <w:p w14:paraId="7B97A379">
            <w:pPr>
              <w:spacing w:after="0" w:line="240" w:lineRule="auto"/>
            </w:pPr>
            <w:r>
              <w:t>p</w:t>
            </w:r>
          </w:p>
        </w:tc>
      </w:tr>
      <w:tr w14:paraId="17DD90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2CA437">
            <w:pPr>
              <w:spacing w:after="0" w:line="240" w:lineRule="auto"/>
            </w:pPr>
            <w:r>
              <w:t>Group</w:t>
            </w:r>
          </w:p>
        </w:tc>
        <w:tc>
          <w:tcPr>
            <w:tcW w:w="2160" w:type="dxa"/>
          </w:tcPr>
          <w:p w14:paraId="38110ADB">
            <w:pPr>
              <w:spacing w:after="0" w:line="240" w:lineRule="auto"/>
            </w:pPr>
            <w:r>
              <w:t>0.0319</w:t>
            </w:r>
          </w:p>
        </w:tc>
        <w:tc>
          <w:tcPr>
            <w:tcW w:w="2160" w:type="dxa"/>
          </w:tcPr>
          <w:p w14:paraId="6F424BC9">
            <w:pPr>
              <w:spacing w:after="0" w:line="240" w:lineRule="auto"/>
            </w:pPr>
            <w:r>
              <w:t>1.385</w:t>
            </w:r>
          </w:p>
        </w:tc>
        <w:tc>
          <w:tcPr>
            <w:tcW w:w="2160" w:type="dxa"/>
          </w:tcPr>
          <w:p w14:paraId="4F2F11B2">
            <w:pPr>
              <w:spacing w:after="0" w:line="240" w:lineRule="auto"/>
            </w:pPr>
            <w:r>
              <w:t>0.149</w:t>
            </w:r>
          </w:p>
        </w:tc>
      </w:tr>
      <w:tr w14:paraId="6CAD11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BA1CF9">
            <w:pPr>
              <w:spacing w:after="0" w:line="240" w:lineRule="auto"/>
            </w:pPr>
            <w:r>
              <w:t>Group</w:t>
            </w:r>
          </w:p>
        </w:tc>
        <w:tc>
          <w:tcPr>
            <w:tcW w:w="2160" w:type="dxa"/>
          </w:tcPr>
          <w:p w14:paraId="65612219">
            <w:pPr>
              <w:spacing w:after="0" w:line="240" w:lineRule="auto"/>
            </w:pPr>
            <w:r>
              <w:t>0.9681</w:t>
            </w:r>
          </w:p>
        </w:tc>
        <w:tc>
          <w:tcPr>
            <w:tcW w:w="2160" w:type="dxa"/>
          </w:tcPr>
          <w:p w14:paraId="52BAEBF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15F1C648">
            <w:pPr>
              <w:spacing w:after="0" w:line="240" w:lineRule="auto"/>
            </w:pPr>
            <w:r>
              <w:t>-</w:t>
            </w:r>
          </w:p>
        </w:tc>
      </w:tr>
      <w:tr w14:paraId="0FCA0B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D8D2FF">
            <w:pPr>
              <w:spacing w:after="0" w:line="240" w:lineRule="auto"/>
            </w:pPr>
            <w:r>
              <w:t>Group</w:t>
            </w:r>
          </w:p>
        </w:tc>
        <w:tc>
          <w:tcPr>
            <w:tcW w:w="2160" w:type="dxa"/>
          </w:tcPr>
          <w:p w14:paraId="2BD5D32F">
            <w:pPr>
              <w:spacing w:after="0" w:line="240" w:lineRule="auto"/>
            </w:pPr>
            <w:r>
              <w:t>1.0000</w:t>
            </w:r>
          </w:p>
        </w:tc>
        <w:tc>
          <w:tcPr>
            <w:tcW w:w="2160" w:type="dxa"/>
          </w:tcPr>
          <w:p w14:paraId="515A91FB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18A46D1">
            <w:pPr>
              <w:spacing w:after="0" w:line="240" w:lineRule="auto"/>
            </w:pPr>
            <w:r>
              <w:t>-</w:t>
            </w:r>
          </w:p>
        </w:tc>
      </w:tr>
      <w:tr w14:paraId="3F8E9C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6BA954">
            <w:pPr>
              <w:spacing w:after="0" w:line="240" w:lineRule="auto"/>
            </w:pPr>
            <w:r>
              <w:t>Disease</w:t>
            </w:r>
          </w:p>
        </w:tc>
        <w:tc>
          <w:tcPr>
            <w:tcW w:w="2160" w:type="dxa"/>
          </w:tcPr>
          <w:p w14:paraId="1117A04D">
            <w:pPr>
              <w:spacing w:after="0" w:line="240" w:lineRule="auto"/>
            </w:pPr>
            <w:r>
              <w:t>0.0238</w:t>
            </w:r>
          </w:p>
        </w:tc>
        <w:tc>
          <w:tcPr>
            <w:tcW w:w="2160" w:type="dxa"/>
          </w:tcPr>
          <w:p w14:paraId="50C973F7">
            <w:pPr>
              <w:spacing w:after="0" w:line="240" w:lineRule="auto"/>
            </w:pPr>
            <w:r>
              <w:t>3.123</w:t>
            </w:r>
          </w:p>
        </w:tc>
        <w:tc>
          <w:tcPr>
            <w:tcW w:w="2160" w:type="dxa"/>
          </w:tcPr>
          <w:p w14:paraId="139C10CD">
            <w:pPr>
              <w:spacing w:after="0" w:line="240" w:lineRule="auto"/>
            </w:pPr>
            <w:r>
              <w:t>0.008</w:t>
            </w:r>
          </w:p>
        </w:tc>
      </w:tr>
      <w:tr w14:paraId="6E2405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30628B">
            <w:pPr>
              <w:spacing w:after="0" w:line="240" w:lineRule="auto"/>
            </w:pPr>
            <w:r>
              <w:t>Disease</w:t>
            </w:r>
          </w:p>
        </w:tc>
        <w:tc>
          <w:tcPr>
            <w:tcW w:w="2160" w:type="dxa"/>
          </w:tcPr>
          <w:p w14:paraId="0AE84E8F">
            <w:pPr>
              <w:spacing w:after="0" w:line="240" w:lineRule="auto"/>
            </w:pPr>
            <w:r>
              <w:t>0.9762</w:t>
            </w:r>
          </w:p>
        </w:tc>
        <w:tc>
          <w:tcPr>
            <w:tcW w:w="2160" w:type="dxa"/>
          </w:tcPr>
          <w:p w14:paraId="78BD8C49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6D6DDF8">
            <w:pPr>
              <w:spacing w:after="0" w:line="240" w:lineRule="auto"/>
            </w:pPr>
            <w:r>
              <w:t>-</w:t>
            </w:r>
          </w:p>
        </w:tc>
      </w:tr>
      <w:tr w14:paraId="3BF870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1E2437">
            <w:pPr>
              <w:spacing w:after="0" w:line="240" w:lineRule="auto"/>
            </w:pPr>
            <w:r>
              <w:t>Disease</w:t>
            </w:r>
          </w:p>
        </w:tc>
        <w:tc>
          <w:tcPr>
            <w:tcW w:w="2160" w:type="dxa"/>
          </w:tcPr>
          <w:p w14:paraId="4052AA2F">
            <w:pPr>
              <w:spacing w:after="0" w:line="240" w:lineRule="auto"/>
            </w:pPr>
            <w:r>
              <w:t>1.0000</w:t>
            </w:r>
          </w:p>
        </w:tc>
        <w:tc>
          <w:tcPr>
            <w:tcW w:w="2160" w:type="dxa"/>
          </w:tcPr>
          <w:p w14:paraId="7992432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037DF998">
            <w:pPr>
              <w:spacing w:after="0" w:line="240" w:lineRule="auto"/>
            </w:pPr>
            <w:r>
              <w:t>-</w:t>
            </w:r>
          </w:p>
        </w:tc>
      </w:tr>
      <w:tr w14:paraId="31FC70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ABDC08">
            <w:pPr>
              <w:spacing w:after="0" w:line="240" w:lineRule="auto"/>
            </w:pPr>
            <w:r>
              <w:t>Time</w:t>
            </w:r>
          </w:p>
        </w:tc>
        <w:tc>
          <w:tcPr>
            <w:tcW w:w="2160" w:type="dxa"/>
          </w:tcPr>
          <w:p w14:paraId="6254325A">
            <w:pPr>
              <w:spacing w:after="0" w:line="240" w:lineRule="auto"/>
            </w:pPr>
            <w:r>
              <w:t>0.0053</w:t>
            </w:r>
          </w:p>
        </w:tc>
        <w:tc>
          <w:tcPr>
            <w:tcW w:w="2160" w:type="dxa"/>
          </w:tcPr>
          <w:p w14:paraId="1B36EAF1">
            <w:pPr>
              <w:spacing w:after="0" w:line="240" w:lineRule="auto"/>
            </w:pPr>
            <w:r>
              <w:t>0.686</w:t>
            </w:r>
          </w:p>
        </w:tc>
        <w:tc>
          <w:tcPr>
            <w:tcW w:w="2160" w:type="dxa"/>
          </w:tcPr>
          <w:p w14:paraId="596B5ED6">
            <w:pPr>
              <w:spacing w:after="0" w:line="240" w:lineRule="auto"/>
            </w:pPr>
            <w:r>
              <w:t>0.671</w:t>
            </w:r>
          </w:p>
        </w:tc>
      </w:tr>
      <w:tr w14:paraId="1F921B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69DAFE">
            <w:pPr>
              <w:spacing w:after="0" w:line="240" w:lineRule="auto"/>
            </w:pPr>
            <w:r>
              <w:t>Time</w:t>
            </w:r>
          </w:p>
        </w:tc>
        <w:tc>
          <w:tcPr>
            <w:tcW w:w="2160" w:type="dxa"/>
          </w:tcPr>
          <w:p w14:paraId="11183A30">
            <w:pPr>
              <w:spacing w:after="0" w:line="240" w:lineRule="auto"/>
            </w:pPr>
            <w:r>
              <w:t>0.9947</w:t>
            </w:r>
          </w:p>
        </w:tc>
        <w:tc>
          <w:tcPr>
            <w:tcW w:w="2160" w:type="dxa"/>
          </w:tcPr>
          <w:p w14:paraId="29B43597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C17C684">
            <w:pPr>
              <w:spacing w:after="0" w:line="240" w:lineRule="auto"/>
            </w:pPr>
            <w:r>
              <w:t>-</w:t>
            </w:r>
          </w:p>
        </w:tc>
      </w:tr>
      <w:tr w14:paraId="3A50EA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0D569F">
            <w:pPr>
              <w:spacing w:after="0" w:line="240" w:lineRule="auto"/>
            </w:pPr>
            <w:r>
              <w:t>Time</w:t>
            </w:r>
          </w:p>
        </w:tc>
        <w:tc>
          <w:tcPr>
            <w:tcW w:w="2160" w:type="dxa"/>
          </w:tcPr>
          <w:p w14:paraId="0B466BCD">
            <w:pPr>
              <w:spacing w:after="0" w:line="240" w:lineRule="auto"/>
            </w:pPr>
            <w:r>
              <w:t>1.0000</w:t>
            </w:r>
          </w:p>
        </w:tc>
        <w:tc>
          <w:tcPr>
            <w:tcW w:w="2160" w:type="dxa"/>
          </w:tcPr>
          <w:p w14:paraId="7F3AC0C7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3F165E7">
            <w:pPr>
              <w:spacing w:after="0" w:line="240" w:lineRule="auto"/>
            </w:pPr>
            <w:r>
              <w:t>-</w:t>
            </w:r>
          </w:p>
        </w:tc>
      </w:tr>
      <w:tr w14:paraId="73848D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C98683">
            <w:pPr>
              <w:spacing w:after="0" w:line="240" w:lineRule="auto"/>
            </w:pPr>
            <w:r>
              <w:t>Disease*Time</w:t>
            </w:r>
          </w:p>
        </w:tc>
        <w:tc>
          <w:tcPr>
            <w:tcW w:w="2160" w:type="dxa"/>
          </w:tcPr>
          <w:p w14:paraId="0C0A8737">
            <w:pPr>
              <w:spacing w:after="0" w:line="240" w:lineRule="auto"/>
            </w:pPr>
            <w:r>
              <w:t>0.0319</w:t>
            </w:r>
          </w:p>
        </w:tc>
        <w:tc>
          <w:tcPr>
            <w:tcW w:w="2160" w:type="dxa"/>
          </w:tcPr>
          <w:p w14:paraId="0B0C2BD7">
            <w:pPr>
              <w:spacing w:after="0" w:line="240" w:lineRule="auto"/>
            </w:pPr>
            <w:r>
              <w:t>1.385</w:t>
            </w:r>
          </w:p>
        </w:tc>
        <w:tc>
          <w:tcPr>
            <w:tcW w:w="2160" w:type="dxa"/>
          </w:tcPr>
          <w:p w14:paraId="42708F09">
            <w:pPr>
              <w:spacing w:after="0" w:line="240" w:lineRule="auto"/>
            </w:pPr>
            <w:r>
              <w:t>0.144</w:t>
            </w:r>
          </w:p>
        </w:tc>
      </w:tr>
      <w:tr w14:paraId="5092A5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640D77">
            <w:pPr>
              <w:spacing w:after="0" w:line="240" w:lineRule="auto"/>
            </w:pPr>
            <w:r>
              <w:t>Disease*Time</w:t>
            </w:r>
          </w:p>
        </w:tc>
        <w:tc>
          <w:tcPr>
            <w:tcW w:w="2160" w:type="dxa"/>
          </w:tcPr>
          <w:p w14:paraId="5DB1CAE0">
            <w:pPr>
              <w:spacing w:after="0" w:line="240" w:lineRule="auto"/>
            </w:pPr>
            <w:r>
              <w:t>0.9681</w:t>
            </w:r>
          </w:p>
        </w:tc>
        <w:tc>
          <w:tcPr>
            <w:tcW w:w="2160" w:type="dxa"/>
          </w:tcPr>
          <w:p w14:paraId="62E86C22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BDCD2AF">
            <w:pPr>
              <w:spacing w:after="0" w:line="240" w:lineRule="auto"/>
            </w:pPr>
            <w:r>
              <w:t>-</w:t>
            </w:r>
          </w:p>
        </w:tc>
      </w:tr>
      <w:tr w14:paraId="308FE7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1EC38B">
            <w:pPr>
              <w:spacing w:after="0" w:line="240" w:lineRule="auto"/>
            </w:pPr>
            <w:r>
              <w:t>Disease*Time</w:t>
            </w:r>
          </w:p>
        </w:tc>
        <w:tc>
          <w:tcPr>
            <w:tcW w:w="2160" w:type="dxa"/>
          </w:tcPr>
          <w:p w14:paraId="708F3A97">
            <w:pPr>
              <w:spacing w:after="0" w:line="240" w:lineRule="auto"/>
            </w:pPr>
            <w:r>
              <w:t>1.0000</w:t>
            </w:r>
          </w:p>
        </w:tc>
        <w:tc>
          <w:tcPr>
            <w:tcW w:w="2160" w:type="dxa"/>
          </w:tcPr>
          <w:p w14:paraId="6F41B9E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FC0F6D3">
            <w:pPr>
              <w:spacing w:after="0" w:line="240" w:lineRule="auto"/>
            </w:pPr>
            <w:r>
              <w:t>-</w:t>
            </w:r>
          </w:p>
        </w:tc>
      </w:tr>
    </w:tbl>
    <w:p w14:paraId="49C19031">
      <w:r>
        <w:rPr>
          <w:b w:val="0"/>
        </w:rPr>
        <w:t>Time (before vs after) R²=0.005, p=0.67 → no community restructuring. Dispersion homogeneous (betadisper p=0.93) → PERMANOVA valid. Within-patient Bray=0.345 ≈ 0.75× population spread → patients stay more similar to themselves than to others. Disease baseline differs (p=0.008).</w:t>
      </w:r>
    </w:p>
    <w:p w14:paraId="39E7AE77">
      <w:r>
        <w:drawing>
          <wp:inline distT="0" distB="0" distL="114300" distR="114300">
            <wp:extent cx="4754880" cy="356616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77DD">
      <w:pPr>
        <w:pStyle w:val="3"/>
      </w:pPr>
      <w:r>
        <w:t>4. Differential Abundant Genera (paired Wilcoxon, BH-corrected)</w:t>
      </w:r>
    </w:p>
    <w:p w14:paraId="2E685627">
      <w:r>
        <w:rPr>
          <w:b w:val="0"/>
        </w:rPr>
        <w:t>FDR-significant genera: 0 in both diseases → no keystone replacement. Nominal candidates (p&lt;0.05):</w:t>
      </w:r>
    </w:p>
    <w:p w14:paraId="56D5C263">
      <w:r>
        <w:rPr>
          <w:b/>
        </w:rPr>
        <w:t>IBS: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41271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3421BD">
            <w:pPr>
              <w:spacing w:after="0" w:line="240" w:lineRule="auto"/>
            </w:pPr>
            <w:r>
              <w:t>genus</w:t>
            </w:r>
          </w:p>
        </w:tc>
        <w:tc>
          <w:tcPr>
            <w:tcW w:w="2160" w:type="dxa"/>
          </w:tcPr>
          <w:p w14:paraId="55538CF1">
            <w:pPr>
              <w:spacing w:after="0" w:line="240" w:lineRule="auto"/>
            </w:pPr>
            <w:r>
              <w:t>before rel</w:t>
            </w:r>
          </w:p>
        </w:tc>
        <w:tc>
          <w:tcPr>
            <w:tcW w:w="2160" w:type="dxa"/>
          </w:tcPr>
          <w:p w14:paraId="3751DAB2">
            <w:pPr>
              <w:spacing w:after="0" w:line="240" w:lineRule="auto"/>
            </w:pPr>
            <w:r>
              <w:t>after rel</w:t>
            </w:r>
          </w:p>
        </w:tc>
        <w:tc>
          <w:tcPr>
            <w:tcW w:w="2160" w:type="dxa"/>
          </w:tcPr>
          <w:p w14:paraId="34BCF95F">
            <w:pPr>
              <w:spacing w:after="0" w:line="240" w:lineRule="auto"/>
            </w:pPr>
            <w:r>
              <w:t>log2FC / p</w:t>
            </w:r>
          </w:p>
        </w:tc>
      </w:tr>
      <w:tr w14:paraId="78F24B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5AA669">
            <w:pPr>
              <w:spacing w:after="0" w:line="240" w:lineRule="auto"/>
            </w:pPr>
            <w:r>
              <w:t>s__animalis</w:t>
            </w:r>
          </w:p>
        </w:tc>
        <w:tc>
          <w:tcPr>
            <w:tcW w:w="2160" w:type="dxa"/>
          </w:tcPr>
          <w:p w14:paraId="250C3E4D">
            <w:pPr>
              <w:spacing w:after="0" w:line="240" w:lineRule="auto"/>
            </w:pPr>
            <w:r>
              <w:t>0.0000</w:t>
            </w:r>
          </w:p>
        </w:tc>
        <w:tc>
          <w:tcPr>
            <w:tcW w:w="2160" w:type="dxa"/>
          </w:tcPr>
          <w:p w14:paraId="1A9E9251">
            <w:pPr>
              <w:spacing w:after="0" w:line="240" w:lineRule="auto"/>
            </w:pPr>
            <w:r>
              <w:t>0.0008</w:t>
            </w:r>
          </w:p>
        </w:tc>
        <w:tc>
          <w:tcPr>
            <w:tcW w:w="2160" w:type="dxa"/>
          </w:tcPr>
          <w:p w14:paraId="58597160">
            <w:pPr>
              <w:spacing w:after="0" w:line="240" w:lineRule="auto"/>
            </w:pPr>
            <w:r>
              <w:t>+5.22 (p=0.00915)</w:t>
            </w:r>
          </w:p>
        </w:tc>
      </w:tr>
      <w:tr w14:paraId="293F3E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2A713B">
            <w:pPr>
              <w:spacing w:after="0" w:line="240" w:lineRule="auto"/>
            </w:pPr>
            <w:r>
              <w:t>s__reuteri</w:t>
            </w:r>
          </w:p>
        </w:tc>
        <w:tc>
          <w:tcPr>
            <w:tcW w:w="2160" w:type="dxa"/>
          </w:tcPr>
          <w:p w14:paraId="6BA95AE6">
            <w:pPr>
              <w:spacing w:after="0" w:line="240" w:lineRule="auto"/>
            </w:pPr>
            <w:r>
              <w:t>0.0001</w:t>
            </w:r>
          </w:p>
        </w:tc>
        <w:tc>
          <w:tcPr>
            <w:tcW w:w="2160" w:type="dxa"/>
          </w:tcPr>
          <w:p w14:paraId="28946A49">
            <w:pPr>
              <w:spacing w:after="0" w:line="240" w:lineRule="auto"/>
            </w:pPr>
            <w:r>
              <w:t>0.0022</w:t>
            </w:r>
          </w:p>
        </w:tc>
        <w:tc>
          <w:tcPr>
            <w:tcW w:w="2160" w:type="dxa"/>
          </w:tcPr>
          <w:p w14:paraId="601D1088">
            <w:pPr>
              <w:spacing w:after="0" w:line="240" w:lineRule="auto"/>
            </w:pPr>
            <w:r>
              <w:t>+4.27 (p=0.00915)</w:t>
            </w:r>
          </w:p>
        </w:tc>
      </w:tr>
      <w:tr w14:paraId="16C11A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8D836D">
            <w:pPr>
              <w:spacing w:after="0" w:line="240" w:lineRule="auto"/>
            </w:pPr>
            <w:r>
              <w:t>s__muciniphila</w:t>
            </w:r>
          </w:p>
        </w:tc>
        <w:tc>
          <w:tcPr>
            <w:tcW w:w="2160" w:type="dxa"/>
          </w:tcPr>
          <w:p w14:paraId="7881C872">
            <w:pPr>
              <w:spacing w:after="0" w:line="240" w:lineRule="auto"/>
            </w:pPr>
            <w:r>
              <w:t>0.0103</w:t>
            </w:r>
          </w:p>
        </w:tc>
        <w:tc>
          <w:tcPr>
            <w:tcW w:w="2160" w:type="dxa"/>
          </w:tcPr>
          <w:p w14:paraId="52A41282">
            <w:pPr>
              <w:spacing w:after="0" w:line="240" w:lineRule="auto"/>
            </w:pPr>
            <w:r>
              <w:t>0.0388</w:t>
            </w:r>
          </w:p>
        </w:tc>
        <w:tc>
          <w:tcPr>
            <w:tcW w:w="2160" w:type="dxa"/>
          </w:tcPr>
          <w:p w14:paraId="13F9C061">
            <w:pPr>
              <w:spacing w:after="0" w:line="240" w:lineRule="auto"/>
            </w:pPr>
            <w:r>
              <w:t>+1.92 (p=0.0132)</w:t>
            </w:r>
          </w:p>
        </w:tc>
      </w:tr>
      <w:tr w14:paraId="373344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826713">
            <w:pPr>
              <w:spacing w:after="0" w:line="240" w:lineRule="auto"/>
            </w:pPr>
            <w:r>
              <w:t>s__uniformis</w:t>
            </w:r>
          </w:p>
        </w:tc>
        <w:tc>
          <w:tcPr>
            <w:tcW w:w="2160" w:type="dxa"/>
          </w:tcPr>
          <w:p w14:paraId="2A4BFCD7">
            <w:pPr>
              <w:spacing w:after="0" w:line="240" w:lineRule="auto"/>
            </w:pPr>
            <w:r>
              <w:t>0.0091</w:t>
            </w:r>
          </w:p>
        </w:tc>
        <w:tc>
          <w:tcPr>
            <w:tcW w:w="2160" w:type="dxa"/>
          </w:tcPr>
          <w:p w14:paraId="06B11802">
            <w:pPr>
              <w:spacing w:after="0" w:line="240" w:lineRule="auto"/>
            </w:pPr>
            <w:r>
              <w:t>0.0046</w:t>
            </w:r>
          </w:p>
        </w:tc>
        <w:tc>
          <w:tcPr>
            <w:tcW w:w="2160" w:type="dxa"/>
          </w:tcPr>
          <w:p w14:paraId="21CC4390">
            <w:pPr>
              <w:spacing w:after="0" w:line="240" w:lineRule="auto"/>
            </w:pPr>
            <w:r>
              <w:t>-1.00 (p=0.0168)</w:t>
            </w:r>
          </w:p>
        </w:tc>
      </w:tr>
      <w:tr w14:paraId="7BB8D6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F574EC">
            <w:pPr>
              <w:spacing w:after="0" w:line="240" w:lineRule="auto"/>
            </w:pPr>
            <w:r>
              <w:t>s__fragi</w:t>
            </w:r>
          </w:p>
        </w:tc>
        <w:tc>
          <w:tcPr>
            <w:tcW w:w="2160" w:type="dxa"/>
          </w:tcPr>
          <w:p w14:paraId="2421F756">
            <w:pPr>
              <w:spacing w:after="0" w:line="240" w:lineRule="auto"/>
            </w:pPr>
            <w:r>
              <w:t>0.0000</w:t>
            </w:r>
          </w:p>
        </w:tc>
        <w:tc>
          <w:tcPr>
            <w:tcW w:w="2160" w:type="dxa"/>
          </w:tcPr>
          <w:p w14:paraId="7ACF5AC5">
            <w:pPr>
              <w:spacing w:after="0" w:line="240" w:lineRule="auto"/>
            </w:pPr>
            <w:r>
              <w:t>0.0006</w:t>
            </w:r>
          </w:p>
        </w:tc>
        <w:tc>
          <w:tcPr>
            <w:tcW w:w="2160" w:type="dxa"/>
          </w:tcPr>
          <w:p w14:paraId="5A072D51">
            <w:pPr>
              <w:spacing w:after="0" w:line="240" w:lineRule="auto"/>
            </w:pPr>
            <w:r>
              <w:t>+9.24 (p=0.036)</w:t>
            </w:r>
          </w:p>
        </w:tc>
      </w:tr>
      <w:tr w14:paraId="5C5655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960FDF">
            <w:pPr>
              <w:spacing w:after="0" w:line="240" w:lineRule="auto"/>
            </w:pPr>
            <w:r>
              <w:t>s__callidus</w:t>
            </w:r>
          </w:p>
        </w:tc>
        <w:tc>
          <w:tcPr>
            <w:tcW w:w="2160" w:type="dxa"/>
          </w:tcPr>
          <w:p w14:paraId="6AFE8048">
            <w:pPr>
              <w:spacing w:after="0" w:line="240" w:lineRule="auto"/>
            </w:pPr>
            <w:r>
              <w:t>0.0017</w:t>
            </w:r>
          </w:p>
        </w:tc>
        <w:tc>
          <w:tcPr>
            <w:tcW w:w="2160" w:type="dxa"/>
          </w:tcPr>
          <w:p w14:paraId="63AEFBC5">
            <w:pPr>
              <w:spacing w:after="0" w:line="240" w:lineRule="auto"/>
            </w:pPr>
            <w:r>
              <w:t>0.0006</w:t>
            </w:r>
          </w:p>
        </w:tc>
        <w:tc>
          <w:tcPr>
            <w:tcW w:w="2160" w:type="dxa"/>
          </w:tcPr>
          <w:p w14:paraId="06DBFFE9">
            <w:pPr>
              <w:spacing w:after="0" w:line="240" w:lineRule="auto"/>
            </w:pPr>
            <w:r>
              <w:t>-1.38 (p=0.0367)</w:t>
            </w:r>
          </w:p>
        </w:tc>
      </w:tr>
    </w:tbl>
    <w:p w14:paraId="4546F0C9">
      <w:r>
        <w:rPr>
          <w:b/>
        </w:rPr>
        <w:t>UC: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32A05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F40BC9">
            <w:pPr>
              <w:spacing w:after="0" w:line="240" w:lineRule="auto"/>
            </w:pPr>
            <w:r>
              <w:t>genus</w:t>
            </w:r>
          </w:p>
        </w:tc>
        <w:tc>
          <w:tcPr>
            <w:tcW w:w="2160" w:type="dxa"/>
          </w:tcPr>
          <w:p w14:paraId="650FE50A">
            <w:pPr>
              <w:spacing w:after="0" w:line="240" w:lineRule="auto"/>
            </w:pPr>
            <w:r>
              <w:t>before rel</w:t>
            </w:r>
          </w:p>
        </w:tc>
        <w:tc>
          <w:tcPr>
            <w:tcW w:w="2160" w:type="dxa"/>
          </w:tcPr>
          <w:p w14:paraId="7778531E">
            <w:pPr>
              <w:spacing w:after="0" w:line="240" w:lineRule="auto"/>
            </w:pPr>
            <w:r>
              <w:t>after rel</w:t>
            </w:r>
          </w:p>
        </w:tc>
        <w:tc>
          <w:tcPr>
            <w:tcW w:w="2160" w:type="dxa"/>
          </w:tcPr>
          <w:p w14:paraId="39385BA5">
            <w:pPr>
              <w:spacing w:after="0" w:line="240" w:lineRule="auto"/>
            </w:pPr>
            <w:r>
              <w:t>log2FC / p</w:t>
            </w:r>
          </w:p>
        </w:tc>
      </w:tr>
      <w:tr w14:paraId="0067DF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D34E97">
            <w:pPr>
              <w:spacing w:after="0" w:line="240" w:lineRule="auto"/>
            </w:pPr>
            <w:r>
              <w:t>s__parvula</w:t>
            </w:r>
          </w:p>
        </w:tc>
        <w:tc>
          <w:tcPr>
            <w:tcW w:w="2160" w:type="dxa"/>
          </w:tcPr>
          <w:p w14:paraId="68A3F473">
            <w:pPr>
              <w:spacing w:after="0" w:line="240" w:lineRule="auto"/>
            </w:pPr>
            <w:r>
              <w:t>0.0021</w:t>
            </w:r>
          </w:p>
        </w:tc>
        <w:tc>
          <w:tcPr>
            <w:tcW w:w="2160" w:type="dxa"/>
          </w:tcPr>
          <w:p w14:paraId="3487AF69">
            <w:pPr>
              <w:spacing w:after="0" w:line="240" w:lineRule="auto"/>
            </w:pPr>
            <w:r>
              <w:t>0.0004</w:t>
            </w:r>
          </w:p>
        </w:tc>
        <w:tc>
          <w:tcPr>
            <w:tcW w:w="2160" w:type="dxa"/>
          </w:tcPr>
          <w:p w14:paraId="4218F670">
            <w:pPr>
              <w:spacing w:after="0" w:line="240" w:lineRule="auto"/>
            </w:pPr>
            <w:r>
              <w:t>-2.35 (p=0.0191)</w:t>
            </w:r>
          </w:p>
        </w:tc>
      </w:tr>
      <w:tr w14:paraId="7C6EC0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8BA689">
            <w:pPr>
              <w:spacing w:after="0" w:line="240" w:lineRule="auto"/>
            </w:pPr>
            <w:r>
              <w:t>s__caccae</w:t>
            </w:r>
          </w:p>
        </w:tc>
        <w:tc>
          <w:tcPr>
            <w:tcW w:w="2160" w:type="dxa"/>
          </w:tcPr>
          <w:p w14:paraId="1CE5566C">
            <w:pPr>
              <w:spacing w:after="0" w:line="240" w:lineRule="auto"/>
            </w:pPr>
            <w:r>
              <w:t>0.0023</w:t>
            </w:r>
          </w:p>
        </w:tc>
        <w:tc>
          <w:tcPr>
            <w:tcW w:w="2160" w:type="dxa"/>
          </w:tcPr>
          <w:p w14:paraId="3EF44361">
            <w:pPr>
              <w:spacing w:after="0" w:line="240" w:lineRule="auto"/>
            </w:pPr>
            <w:r>
              <w:t>0.0003</w:t>
            </w:r>
          </w:p>
        </w:tc>
        <w:tc>
          <w:tcPr>
            <w:tcW w:w="2160" w:type="dxa"/>
          </w:tcPr>
          <w:p w14:paraId="417D3F39">
            <w:pPr>
              <w:spacing w:after="0" w:line="240" w:lineRule="auto"/>
            </w:pPr>
            <w:r>
              <w:t>-2.81 (p=0.0244)</w:t>
            </w:r>
          </w:p>
        </w:tc>
      </w:tr>
      <w:tr w14:paraId="317D02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D8C238">
            <w:pPr>
              <w:spacing w:after="0" w:line="240" w:lineRule="auto"/>
            </w:pPr>
            <w:r>
              <w:t>s__mucilaginosa</w:t>
            </w:r>
          </w:p>
        </w:tc>
        <w:tc>
          <w:tcPr>
            <w:tcW w:w="2160" w:type="dxa"/>
          </w:tcPr>
          <w:p w14:paraId="713AE78B">
            <w:pPr>
              <w:spacing w:after="0" w:line="240" w:lineRule="auto"/>
            </w:pPr>
            <w:r>
              <w:t>0.0059</w:t>
            </w:r>
          </w:p>
        </w:tc>
        <w:tc>
          <w:tcPr>
            <w:tcW w:w="2160" w:type="dxa"/>
          </w:tcPr>
          <w:p w14:paraId="4EE06C0E">
            <w:pPr>
              <w:spacing w:after="0" w:line="240" w:lineRule="auto"/>
            </w:pPr>
            <w:r>
              <w:t>0.0026</w:t>
            </w:r>
          </w:p>
        </w:tc>
        <w:tc>
          <w:tcPr>
            <w:tcW w:w="2160" w:type="dxa"/>
          </w:tcPr>
          <w:p w14:paraId="44D9BF1B">
            <w:pPr>
              <w:spacing w:after="0" w:line="240" w:lineRule="auto"/>
            </w:pPr>
            <w:r>
              <w:t>-1.19 (p=0.0254)</w:t>
            </w:r>
          </w:p>
        </w:tc>
      </w:tr>
      <w:tr w14:paraId="22FB74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CBF62D">
            <w:pPr>
              <w:spacing w:after="0" w:line="240" w:lineRule="auto"/>
            </w:pPr>
            <w:r>
              <w:t>s__fragilis</w:t>
            </w:r>
          </w:p>
        </w:tc>
        <w:tc>
          <w:tcPr>
            <w:tcW w:w="2160" w:type="dxa"/>
          </w:tcPr>
          <w:p w14:paraId="3CEBEC4C">
            <w:pPr>
              <w:spacing w:after="0" w:line="240" w:lineRule="auto"/>
            </w:pPr>
            <w:r>
              <w:t>0.0043</w:t>
            </w:r>
          </w:p>
        </w:tc>
        <w:tc>
          <w:tcPr>
            <w:tcW w:w="2160" w:type="dxa"/>
          </w:tcPr>
          <w:p w14:paraId="4C65C4F9">
            <w:pPr>
              <w:spacing w:after="0" w:line="240" w:lineRule="auto"/>
            </w:pPr>
            <w:r>
              <w:t>0.0013</w:t>
            </w:r>
          </w:p>
        </w:tc>
        <w:tc>
          <w:tcPr>
            <w:tcW w:w="2160" w:type="dxa"/>
          </w:tcPr>
          <w:p w14:paraId="1A712A0D">
            <w:pPr>
              <w:spacing w:after="0" w:line="240" w:lineRule="auto"/>
            </w:pPr>
            <w:r>
              <w:t>-1.73 (p=0.0464)</w:t>
            </w:r>
          </w:p>
        </w:tc>
      </w:tr>
      <w:tr w14:paraId="524CED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B95FFD">
            <w:pPr>
              <w:spacing w:after="0" w:line="240" w:lineRule="auto"/>
            </w:pPr>
            <w:r>
              <w:t>s__uniformis</w:t>
            </w:r>
          </w:p>
        </w:tc>
        <w:tc>
          <w:tcPr>
            <w:tcW w:w="2160" w:type="dxa"/>
          </w:tcPr>
          <w:p w14:paraId="70342D10">
            <w:pPr>
              <w:spacing w:after="0" w:line="240" w:lineRule="auto"/>
            </w:pPr>
            <w:r>
              <w:t>0.0084</w:t>
            </w:r>
          </w:p>
        </w:tc>
        <w:tc>
          <w:tcPr>
            <w:tcW w:w="2160" w:type="dxa"/>
          </w:tcPr>
          <w:p w14:paraId="5ABEAA77">
            <w:pPr>
              <w:spacing w:after="0" w:line="240" w:lineRule="auto"/>
            </w:pPr>
            <w:r>
              <w:t>0.0046</w:t>
            </w:r>
          </w:p>
        </w:tc>
        <w:tc>
          <w:tcPr>
            <w:tcW w:w="2160" w:type="dxa"/>
          </w:tcPr>
          <w:p w14:paraId="36E0015B">
            <w:pPr>
              <w:spacing w:after="0" w:line="240" w:lineRule="auto"/>
            </w:pPr>
            <w:r>
              <w:t>-0.86 (p=0.05)</w:t>
            </w:r>
          </w:p>
        </w:tc>
      </w:tr>
    </w:tbl>
    <w:p w14:paraId="08EE127A">
      <w:r>
        <w:drawing>
          <wp:inline distT="0" distB="0" distL="114300" distR="114300">
            <wp:extent cx="5120640" cy="3413760"/>
            <wp:effectExtent l="0" t="0" r="1016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BFEB">
      <w:r>
        <w:drawing>
          <wp:inline distT="0" distB="0" distL="114300" distR="114300">
            <wp:extent cx="5120640" cy="4189095"/>
            <wp:effectExtent l="0" t="0" r="1016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8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DBB7">
      <w:pPr>
        <w:pStyle w:val="3"/>
      </w:pPr>
      <w:r>
        <w:t>5. Scientific Hypothesis</w:t>
      </w:r>
    </w:p>
    <w:p w14:paraId="4EF73BC2">
      <w:r>
        <w:rPr>
          <w:b/>
        </w:rPr>
        <w:t>In UC (but not IBS), the intervention reduces gut-microbiome alpha diversity (Shannon) without detectably reshaping community structure at genus resolution — it acts as an evenness eroder, not a community replacer: diversity falls via distributed erosion of moderate-abundance taxa, not replacement of a dominant genus.</w:t>
      </w:r>
    </w:p>
    <w:p w14:paraId="7A359606">
      <w:r>
        <w:rPr>
          <w:b w:val="0"/>
        </w:rPr>
        <w:t>Parameters supporting the hypothesis:</w:t>
      </w:r>
    </w:p>
    <w:p w14:paraId="5222B682">
      <w:pPr>
        <w:pStyle w:val="16"/>
      </w:pPr>
      <w:r>
        <w:t>Alpha: paired Wilcoxon on Shannon — UC p=0.023 (Δ=−0.12, significant ↓), IBS p=0.18; observed-species p=0.98 → evenness, not richness.</w:t>
      </w:r>
    </w:p>
    <w:p w14:paraId="016DB831">
      <w:pPr>
        <w:pStyle w:val="16"/>
      </w:pPr>
      <w:r>
        <w:t>Beta: Bray–Curtis PCoA + PERMANOVA Time R²=0.005 (p=0.67), dispersion homogeneous (p=0.93) → no restructuring.</w:t>
      </w:r>
    </w:p>
    <w:p w14:paraId="3B15738E">
      <w:pPr>
        <w:pStyle w:val="16"/>
      </w:pPr>
      <w:r>
        <w:t>Differential: paired Wilcoxon, BH q&lt;0.05 = 0 genera → distributed, not keystone, effect.</w:t>
      </w:r>
    </w:p>
    <w:p w14:paraId="67A3FF21">
      <w:pPr>
        <w:pStyle w:val="16"/>
      </w:pPr>
      <w:r>
        <w:t>Stratification: Disease PERMANOVA p=0.008 → disease-stratified analysis is required.</w:t>
      </w:r>
    </w:p>
    <w:p w14:paraId="0BF336AF">
      <w:r>
        <w:rPr>
          <w:b w:val="0"/>
        </w:rPr>
        <w:t>Follow-up prediction: species/ASV or metagenomic-functional resolution will localize eroded taxa to butyrate producers / mucus-associated commensals, and the UC diversity loss will correlate with clinical response (Group_sub poor/great) in a larger paired cohort.</w:t>
      </w:r>
    </w:p>
    <w:p w14:paraId="2560BA38">
      <w:pPr>
        <w:pStyle w:val="3"/>
      </w:pPr>
      <w:r>
        <w:t>6. Limitations</w:t>
      </w:r>
    </w:p>
    <w:p w14:paraId="692DDF55">
      <w:pPr>
        <w:pStyle w:val="16"/>
      </w:pPr>
      <w:r>
        <w:t>Compositional (relative-abundance) data → PERMANOVA on proportions can be compositionality-biased.</w:t>
      </w:r>
    </w:p>
    <w:p w14:paraId="29AE3B1C">
      <w:pPr>
        <w:pStyle w:val="16"/>
      </w:pPr>
      <w:r>
        <w:t>No taxon survives FDR → candidate genera are exploratory.</w:t>
      </w:r>
    </w:p>
    <w:p w14:paraId="06C71BFE">
      <w:pPr>
        <w:pStyle w:val="16"/>
      </w:pPr>
      <w:r>
        <w:t>Power: 35/29 pairs; subtle effects may be underpowered.</w:t>
      </w:r>
    </w:p>
    <w:p w14:paraId="65153720">
      <w:pPr>
        <w:pStyle w:val="16"/>
      </w:pPr>
      <w:r>
        <w:t>No site/batch variable in metadata → residual confounding cannot be fully excluded.</w:t>
      </w:r>
    </w:p>
    <w:p w14:paraId="7C632DDB">
      <w:pPr>
        <w:pStyle w:val="16"/>
      </w:pPr>
      <w:r>
        <w:t>Genus resolution only; mechanism needs species/ASV or functional profiling.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BC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259</Words>
  <Characters>1466</Characters>
  <Lines>0</Lines>
  <Paragraphs>0</Paragraphs>
  <TotalTime>0</TotalTime>
  <ScaleCrop>false</ScaleCrop>
  <LinksUpToDate>false</LinksUpToDate>
  <CharactersWithSpaces>1648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JYLH</cp:lastModifiedBy>
  <dcterms:modified xsi:type="dcterms:W3CDTF">2026-09-26T08:46:08Z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eyJoZGlkIjoiNjNlNWZkOWNlYzZlYmQwNDBjYzNmOWEwZjYxZGZjNjciLCJ1c2VySWQiOiI3NDY4NzU1MTMifQ==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B7AF32E97AEF40039708715C34CE342E_12</vt:lpwstr>
  </property>
</Properties>
</file>