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 w:after="80"/>
      </w:pPr>
      <w:r>
        <w:rPr>
          <w:b/>
          <w:color w:val="0F6B78"/>
          <w:sz w:val="20"/>
        </w:rPr>
        <w:t>ETHONLINE 2026  /  PROJECT REGISTRATION</w:t>
      </w:r>
    </w:p>
    <w:p>
      <w:pPr>
        <w:pStyle w:val="Title"/>
        <w:spacing w:before="80"/>
      </w:pPr>
      <w:r>
        <w:t>FactorFlow</w:t>
      </w:r>
    </w:p>
    <w:p>
      <w:pPr>
        <w:pStyle w:val="Subtitle"/>
      </w:pPr>
      <w:r>
        <w:t>AI-powered marketplace for tokenized invoices</w:t>
      </w:r>
      <w:r>
        <w:rPr>
          <w:i/>
        </w:rPr>
        <w:br/>
        <w:t>Техническое задание на разработку MVP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  <w:vAlign w:val="center"/>
          </w:tcPr>
          <w:p>
            <w:pPr>
              <w:spacing w:after="40"/>
            </w:pPr>
            <w:r>
              <w:rPr>
                <w:b/>
                <w:color w:val="17365D"/>
              </w:rPr>
              <w:t>Project thesis</w:t>
            </w:r>
          </w:p>
          <w:p>
            <w:pPr>
              <w:spacing w:after="0"/>
            </w:pPr>
            <w:r>
              <w:t>FactorFlow converts verified receivables into compliant tokenized assets, prices them with privacy-preserving AI and deterministic risk models, and allocates them through a constraint-aware batch auction.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/>
            </w:pPr>
            <w:r>
              <w:rPr>
                <w:b/>
                <w:color w:val="17365D"/>
                <w:sz w:val="19"/>
              </w:rPr>
              <w:t>Параметр</w:t>
            </w:r>
          </w:p>
        </w:tc>
        <w:tc>
          <w:tcPr>
            <w:tcW w:type="dxa" w:w="6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/>
            </w:pPr>
            <w:r>
              <w:rPr>
                <w:b/>
                <w:color w:val="17365D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9"/>
              </w:rPr>
              <w:t>Событие</w:t>
            </w:r>
          </w:p>
        </w:tc>
        <w:tc>
          <w:tcPr>
            <w:tcW w:type="dxa" w:w="6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9"/>
              </w:rPr>
              <w:t>ETHOnline 2026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9"/>
              </w:rPr>
              <w:t>Формат</w:t>
            </w:r>
          </w:p>
        </w:tc>
        <w:tc>
          <w:tcPr>
            <w:tcW w:type="dxa" w:w="6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9"/>
              </w:rPr>
              <w:t>Solo submission; From Scratch / Classic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9"/>
              </w:rPr>
              <w:t>Архитектура</w:t>
            </w:r>
          </w:p>
        </w:tc>
        <w:tc>
          <w:tcPr>
            <w:tcW w:type="dxa" w:w="6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9"/>
              </w:rPr>
              <w:t>Go modular monolith + React/TypeScript + PostgreSQL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9"/>
              </w:rPr>
              <w:t>Целевые партнёры</w:t>
            </w:r>
          </w:p>
        </w:tc>
        <w:tc>
          <w:tcPr>
            <w:tcW w:type="dxa" w:w="6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9"/>
              </w:rPr>
              <w:t>Hedera, The Graph, Chainlink (не более трёх партнёров)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9"/>
              </w:rPr>
              <w:t>Сеть</w:t>
            </w:r>
          </w:p>
        </w:tc>
        <w:tc>
          <w:tcPr>
            <w:tcW w:type="dxa" w:w="6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9"/>
              </w:rPr>
              <w:t>Hedera Testnet; The Graph live data; Chainlink CRE simulation/deployment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9"/>
              </w:rPr>
              <w:t>Статус документа</w:t>
            </w:r>
          </w:p>
        </w:tc>
        <w:tc>
          <w:tcPr>
            <w:tcW w:type="dxa" w:w="6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9"/>
              </w:rPr>
              <w:t>Project proposal / pre-implementation technical specification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9"/>
              </w:rPr>
              <w:t>Дата</w:t>
            </w:r>
          </w:p>
        </w:tc>
        <w:tc>
          <w:tcPr>
            <w:tcW w:type="dxa" w:w="6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9"/>
              </w:rPr>
              <w:t>3 September 2026</w:t>
            </w:r>
          </w:p>
        </w:tc>
      </w:tr>
    </w:tbl>
    <w:p>
      <w:pPr>
        <w:spacing w:after="20"/>
      </w:pPr>
    </w:p>
    <w:p>
      <w:pPr>
        <w:pStyle w:val="SmallNote"/>
      </w:pPr>
      <w:r>
        <w:t>Назначение документа: предварительная регистрация проекта по запросу организаторов. Документ фиксирует целевой результат и границы будущей реализации; он не утверждает, что код уже написан.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FactorFlow is a testnet marketplace for financing business receivables. An issuer uploads an encrypted invoice, a confidential AI workflow extracts risk features, and a deterministic model calculates expected loss, a risk grade, and a reserve price. The approved receivable is issued and managed through Hedera Asset Tokenization Studio. Investors submit bids with budget, yield, maturity, and concentration constraints; a reproducible Go optimizer clears the batch auction and produces an auditable allocation certificate.</w:t>
      </w:r>
    </w:p>
    <w:p>
      <w:pPr>
        <w:pStyle w:val="Heading2"/>
      </w:pPr>
      <w:r>
        <w:t>Why it matters</w:t>
      </w:r>
    </w:p>
    <w:p>
      <w:pPr>
        <w:pStyle w:val="ListBullet"/>
      </w:pPr>
      <w:r>
        <w:t>Commercial utility: SMEs can obtain working capital before an invoice is paid; investors receive transparent short-duration opportunities.</w:t>
      </w:r>
    </w:p>
    <w:p>
      <w:pPr>
        <w:pStyle w:val="ListBullet"/>
      </w:pPr>
      <w:r>
        <w:t>Technical depth: confidential document processing, deterministic credit pricing, constrained optimization, compliant token lifecycle, agentic payments, and on-chain reconciliation.</w:t>
      </w:r>
    </w:p>
    <w:p>
      <w:pPr>
        <w:pStyle w:val="ListBullet"/>
      </w:pPr>
      <w:r>
        <w:t>Focused MVP: synthetic invoices, testnet assets, non-custodial signatures, and no handling of real money or production personal data.</w:t>
      </w:r>
    </w:p>
    <w:p>
      <w:pPr>
        <w:pStyle w:val="Heading2"/>
      </w:pPr>
      <w:r>
        <w:t>Load-bearing partner integrations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/>
            </w:pPr>
            <w:r>
              <w:rPr>
                <w:b/>
                <w:color w:val="17365D"/>
                <w:sz w:val="17"/>
              </w:rPr>
              <w:t>Partner</w:t>
            </w:r>
          </w:p>
        </w:tc>
        <w:tc>
          <w:tcPr>
            <w:tcW w:type="dxa" w:w="4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/>
            </w:pPr>
            <w:r>
              <w:rPr>
                <w:b/>
                <w:color w:val="17365D"/>
                <w:sz w:val="17"/>
              </w:rPr>
              <w:t>Core use</w:t>
            </w:r>
          </w:p>
        </w:tc>
        <w:tc>
          <w:tcPr>
            <w:tcW w:type="dxa" w:w="3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/>
            </w:pPr>
            <w:r>
              <w:rPr>
                <w:b/>
                <w:color w:val="17365D"/>
                <w:sz w:val="17"/>
              </w:rPr>
              <w:t>Evidence in demo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Hedera</w:t>
            </w:r>
          </w:p>
        </w:tc>
        <w:tc>
          <w:tcPr>
            <w:tcW w:type="dxa" w:w="4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ATS issuance/compliance/secondary-market lifecycle; Blocky402 x402 payment</w:t>
            </w:r>
          </w:p>
        </w:tc>
        <w:tc>
          <w:tcPr>
            <w:tcW w:type="dxa" w:w="3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Token IDs, transactions, eligible transfer, paid API request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The Graph</w:t>
            </w:r>
          </w:p>
        </w:tc>
        <w:tc>
          <w:tcPr>
            <w:tcW w:type="dxa" w:w="4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Live standardized lending/yield data as pricing inputs; Subgraph MCP for explanations</w:t>
            </w:r>
          </w:p>
        </w:tc>
        <w:tc>
          <w:tcPr>
            <w:tcW w:type="dxa" w:w="3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Queried snapshot changes benchmark and reserve price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Chainlink</w:t>
            </w:r>
          </w:p>
        </w:tc>
        <w:tc>
          <w:tcPr>
            <w:tcW w:type="dxa" w:w="4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CRE Confidential Workflow with a Go TEE handler for sensitive invoice processing</w:t>
            </w:r>
          </w:p>
        </w:tc>
        <w:tc>
          <w:tcPr>
            <w:tcW w:type="dxa" w:w="3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Simulation/deployment logs and signed minimal output</w:t>
            </w:r>
          </w:p>
        </w:tc>
      </w:tr>
    </w:tbl>
    <w:p>
      <w:pPr>
        <w:spacing w:after="20"/>
      </w:pPr>
    </w:p>
    <w:p>
      <w:pPr>
        <w:pStyle w:val="Heading2"/>
      </w:pPr>
      <w:r>
        <w:t>Definition of done</w:t>
      </w:r>
    </w:p>
    <w:p>
      <w:r>
        <w:t>A judge can complete one coherent path: encrypted invoice → confidential assessment → live market benchmark → risk price → ATS tokenization → constrained bids → deterministic clearing → compliant settlement → x402-paid agent request → maturity/repayment simulation. Every external integration is live or backed by required simulation evidence, and every important transition is visible in the audit timeline.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DFF2E1"/>
            <w:vAlign w:val="center"/>
          </w:tcPr>
          <w:p>
            <w:pPr>
              <w:spacing w:after="40"/>
            </w:pPr>
            <w:r>
              <w:rPr>
                <w:b/>
                <w:color w:val="17365D"/>
              </w:rPr>
              <w:t>Primary judging message</w:t>
            </w:r>
          </w:p>
          <w:p>
            <w:pPr>
              <w:spacing w:after="0"/>
            </w:pPr>
            <w:r>
              <w:t>This is not “an AI wrapper” and not “a token demo.” AI handles unstructured private evidence; deterministic algorithms make financial decisions; programmable assets and payments execute the result.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Содержание и статус требований</w:t>
      </w:r>
    </w:p>
    <w:p>
      <w:r>
        <w:t>Ниже приведена полная русскоязычная спецификация. Нумерация разделов является частью документа; формулировки «должен» и «не должен» обозначают обязательные требования MVP.</w:t>
      </w:r>
    </w:p>
    <w:p>
      <w:pPr>
        <w:pStyle w:val="ListBullet"/>
      </w:pPr>
      <w:r>
        <w:t>1. Цель, проблема и пользователи</w:t>
      </w:r>
    </w:p>
    <w:p>
      <w:pPr>
        <w:pStyle w:val="ListBullet"/>
      </w:pPr>
      <w:r>
        <w:t>2. Границы MVP и допущения</w:t>
      </w:r>
    </w:p>
    <w:p>
      <w:pPr>
        <w:pStyle w:val="ListBullet"/>
      </w:pPr>
      <w:r>
        <w:t>3. Партнёрская стратегия</w:t>
      </w:r>
    </w:p>
    <w:p>
      <w:pPr>
        <w:pStyle w:val="ListBullet"/>
      </w:pPr>
      <w:r>
        <w:t>4. Пользовательские сценарии и бизнес-логика</w:t>
      </w:r>
    </w:p>
    <w:p>
      <w:pPr>
        <w:pStyle w:val="ListBullet"/>
      </w:pPr>
      <w:r>
        <w:t>5. Архитектура и модули монолита</w:t>
      </w:r>
    </w:p>
    <w:p>
      <w:pPr>
        <w:pStyle w:val="ListBullet"/>
      </w:pPr>
      <w:r>
        <w:t>6. Технологии и SDK</w:t>
      </w:r>
    </w:p>
    <w:p>
      <w:pPr>
        <w:pStyle w:val="ListBullet"/>
      </w:pPr>
      <w:r>
        <w:t>7. Данные и API</w:t>
      </w:r>
    </w:p>
    <w:p>
      <w:pPr>
        <w:pStyle w:val="ListBullet"/>
      </w:pPr>
      <w:r>
        <w:t>8. AI, риск-модель и оптимизатор аукциона</w:t>
      </w:r>
    </w:p>
    <w:p>
      <w:pPr>
        <w:pStyle w:val="ListBullet"/>
      </w:pPr>
      <w:r>
        <w:t>9. On-chain, конфиденциальность и расчёты</w:t>
      </w:r>
    </w:p>
    <w:p>
      <w:pPr>
        <w:pStyle w:val="ListBullet"/>
      </w:pPr>
      <w:r>
        <w:t>10. Безопасность и нефункциональные требования</w:t>
      </w:r>
    </w:p>
    <w:p>
      <w:pPr>
        <w:pStyle w:val="ListBullet"/>
      </w:pPr>
      <w:r>
        <w:t>11. Тестирование, приёмка, развёртывание и демонстрация</w:t>
      </w:r>
    </w:p>
    <w:p>
      <w:pPr>
        <w:pStyle w:val="ListBullet"/>
      </w:pPr>
      <w:r>
        <w:t>12. План реализации, риски и официальные источники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  <w:vAlign w:val="center"/>
          </w:tcPr>
          <w:p>
            <w:pPr>
              <w:spacing w:after="40"/>
            </w:pPr>
            <w:r>
              <w:rPr>
                <w:b/>
                <w:color w:val="17365D"/>
              </w:rPr>
              <w:t>Ключевое решение после stress-test</w:t>
            </w:r>
          </w:p>
          <w:p>
            <w:pPr>
              <w:spacing w:after="0"/>
            </w:pPr>
            <w:r>
              <w:t>MVP не пытается быть юридически готовой факторинговой платформой. Он доказывает техническую цепочку на синтетических данных и testnet, оставляя KYC-провайдера, юридическое заключение и банковский расчёт за пределами хакатона.</w:t>
            </w:r>
          </w:p>
        </w:tc>
      </w:tr>
    </w:tbl>
    <w:p>
      <w:pPr>
        <w:spacing w:after="20"/>
      </w:pPr>
    </w:p>
    <w:p>
      <w:pPr>
        <w:pStyle w:val="Heading1"/>
      </w:pPr>
      <w:r>
        <w:t>1. Цель, проблема и пользователи</w:t>
      </w:r>
    </w:p>
    <w:p>
      <w:pPr>
        <w:pStyle w:val="Heading2"/>
      </w:pPr>
      <w:r>
        <w:t>1.1. Проблема</w:t>
      </w:r>
    </w:p>
    <w:p>
      <w:r>
        <w:t>Малые и средние компании получают выручку с отсрочкой 30–120 дней, но зарплаты, закупки и налоги оплачивают раньше. Классический факторинг требует ручной проверки документов, непрозрачно оценивает риск и плохо подходит малым счетам. Инвестору, в свою очередь, сложно сравнить качество коротких требований и контролировать концентрацию портфеля.</w:t>
      </w:r>
    </w:p>
    <w:p>
      <w:pPr>
        <w:pStyle w:val="Heading2"/>
      </w:pPr>
      <w:r>
        <w:t>1.2. Цель MVP</w:t>
      </w:r>
    </w:p>
    <w:p>
      <w:r>
        <w:t>Создать работающий прототип рынка токенизированных инвойсов, который принимает зашифрованный документ, возвращает проверяемую оценку риска, выпускает управляемый токенизированный актив, собирает ограниченные заявки инвесторов, оптимально распределяет лоты и демонстрирует расчёт и погашение на testnet.</w:t>
      </w:r>
    </w:p>
    <w:p>
      <w:pPr>
        <w:pStyle w:val="Heading2"/>
      </w:pPr>
      <w:r>
        <w:t>1.3. Пользовательские роли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7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/>
            </w:pPr>
            <w:r>
              <w:rPr>
                <w:b/>
                <w:color w:val="17365D"/>
                <w:sz w:val="17"/>
              </w:rPr>
              <w:t>Роль</w:t>
            </w:r>
          </w:p>
        </w:tc>
        <w:tc>
          <w:tcPr>
            <w:tcW w:type="dxa" w:w="28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/>
            </w:pPr>
            <w:r>
              <w:rPr>
                <w:b/>
                <w:color w:val="17365D"/>
                <w:sz w:val="17"/>
              </w:rPr>
              <w:t>Задача</w:t>
            </w:r>
          </w:p>
        </w:tc>
        <w:tc>
          <w:tcPr>
            <w:tcW w:type="dxa" w:w="4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/>
            </w:pPr>
            <w:r>
              <w:rPr>
                <w:b/>
                <w:color w:val="17365D"/>
                <w:sz w:val="17"/>
              </w:rPr>
              <w:t>Полномочия MVP</w:t>
            </w:r>
          </w:p>
        </w:tc>
      </w:tr>
      <w:tr>
        <w:trPr>
          <w:cantSplit/>
        </w:trP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Issuer / поставщик</w:t>
            </w:r>
          </w:p>
        </w:tc>
        <w:tc>
          <w:tcPr>
            <w:tcW w:type="dxa" w:w="28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Получить ликвидность под дебиторскую задолженность</w:t>
            </w:r>
          </w:p>
        </w:tc>
        <w:tc>
          <w:tcPr>
            <w:tcW w:type="dxa" w:w="4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Создать инвойс, загрузить документ, подтвердить данные, открыть аукцион, инициировать погашение</w:t>
            </w:r>
          </w:p>
        </w:tc>
      </w:tr>
      <w:tr>
        <w:trPr>
          <w:cantSplit/>
        </w:trP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Investor</w:t>
            </w:r>
          </w:p>
        </w:tc>
        <w:tc>
          <w:tcPr>
            <w:tcW w:type="dxa" w:w="28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Купить долю требования при заданном риске/доходности</w:t>
            </w:r>
          </w:p>
        </w:tc>
        <w:tc>
          <w:tcPr>
            <w:tcW w:type="dxa" w:w="4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Пройти demo-eligibility, задать лимиты, подать/отменить заявку, подписать расчёт</w:t>
            </w:r>
          </w:p>
        </w:tc>
      </w:tr>
      <w:tr>
        <w:trPr>
          <w:cantSplit/>
        </w:trP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Risk agent</w:t>
            </w:r>
          </w:p>
        </w:tc>
        <w:tc>
          <w:tcPr>
            <w:tcW w:type="dxa" w:w="28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Подготовить безопасную структурированную оценку</w:t>
            </w:r>
          </w:p>
        </w:tc>
        <w:tc>
          <w:tcPr>
            <w:tcW w:type="dxa" w:w="4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Вызвать TEE workflow, запросить live market data, объяснить результат без изменения детерминированного скоринга</w:t>
            </w:r>
          </w:p>
        </w:tc>
      </w:tr>
      <w:tr>
        <w:trPr>
          <w:cantSplit/>
        </w:trP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Platform operator</w:t>
            </w:r>
          </w:p>
        </w:tc>
        <w:tc>
          <w:tcPr>
            <w:tcW w:type="dxa" w:w="28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Контролировать сбои и соответствие состояний</w:t>
            </w:r>
          </w:p>
        </w:tc>
        <w:tc>
          <w:tcPr>
            <w:tcW w:type="dxa" w:w="4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Просмотреть аудит, повторить outbox-задачу, запустить сверку; без доступа к открытому тексту документа</w:t>
            </w:r>
          </w:p>
        </w:tc>
      </w:tr>
      <w:tr>
        <w:trPr>
          <w:cantSplit/>
        </w:trP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Auditor / judge</w:t>
            </w:r>
          </w:p>
        </w:tc>
        <w:tc>
          <w:tcPr>
            <w:tcW w:type="dxa" w:w="28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Проверить целостность demo-сценария</w:t>
            </w:r>
          </w:p>
        </w:tc>
        <w:tc>
          <w:tcPr>
            <w:tcW w:type="dxa" w:w="4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Просмотреть хэши, расчёты, транзакции, входные параметры и allocation certificate</w:t>
            </w:r>
          </w:p>
        </w:tc>
      </w:tr>
    </w:tbl>
    <w:p>
      <w:pPr>
        <w:spacing w:after="20"/>
      </w:pPr>
    </w:p>
    <w:p>
      <w:pPr>
        <w:pStyle w:val="Heading2"/>
      </w:pPr>
      <w:r>
        <w:t>1.4. Коммерческая гипотеза</w:t>
      </w:r>
    </w:p>
    <w:p>
      <w:r>
        <w:t>Платформа зарабатывает комиссию за успешное финансирование и отдельную микроплату за machine-to-machine risk quote. Первый коммерческий сегмент — B2B-поставщики с повторяющимися дебиторами и чеками, достаточно малыми для автоматизации, но слишком дорогими для ручной проверки. В production потребуется лицензирование/партнёрство с регулируемым фактором; MVP этого не имитирует.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/>
            </w:pPr>
            <w:r>
              <w:rPr>
                <w:b/>
                <w:color w:val="17365D"/>
                <w:sz w:val="17"/>
              </w:rPr>
              <w:t>Метрика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/>
            </w:pPr>
            <w:r>
              <w:rPr>
                <w:b/>
                <w:color w:val="17365D"/>
                <w:sz w:val="17"/>
              </w:rPr>
              <w:t>Цель прототипа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/>
            </w:pPr>
            <w:r>
              <w:rPr>
                <w:b/>
                <w:color w:val="17365D"/>
                <w:sz w:val="17"/>
              </w:rPr>
              <w:t>Как измеряется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Время от загрузки до оценки</w:t>
            </w:r>
          </w:p>
        </w:tc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&lt; 90 секунд без учёта очереди внешнего сервиса</w:t>
            </w:r>
          </w:p>
        </w:tc>
        <w:tc>
          <w:tcPr>
            <w:tcW w:type="dxa" w:w="3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Сквозной trace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Время клиринга demo-пула</w:t>
            </w:r>
          </w:p>
        </w:tc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&lt; 2 секунд для 500 инвойсов и 2 000 заявок</w:t>
            </w:r>
          </w:p>
        </w:tc>
        <w:tc>
          <w:tcPr>
            <w:tcW w:type="dxa" w:w="3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Benchmark в CI/VPS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Доля воспроизводимых решений</w:t>
            </w:r>
          </w:p>
        </w:tc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100% при одинаковом snapshot и seed</w:t>
            </w:r>
          </w:p>
        </w:tc>
        <w:tc>
          <w:tcPr>
            <w:tcW w:type="dxa" w:w="3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Хэш allocation certificate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Утечка plaintext invoice</w:t>
            </w:r>
          </w:p>
        </w:tc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0 записей в БД, логах и объектном хранилище</w:t>
            </w:r>
          </w:p>
        </w:tc>
        <w:tc>
          <w:tcPr>
            <w:tcW w:type="dxa" w:w="3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Security tests и ручной аудит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Сквозной demo-path</w:t>
            </w:r>
          </w:p>
        </w:tc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1 успешный сценарий из 10 обязательных шагов</w:t>
            </w:r>
          </w:p>
        </w:tc>
        <w:tc>
          <w:tcPr>
            <w:tcW w:type="dxa" w:w="3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Acceptance checklist</w:t>
            </w:r>
          </w:p>
        </w:tc>
      </w:tr>
    </w:tbl>
    <w:p>
      <w:pPr>
        <w:spacing w:after="20"/>
      </w:pPr>
    </w:p>
    <w:p>
      <w:pPr>
        <w:pStyle w:val="Heading1"/>
      </w:pPr>
      <w:r>
        <w:t>2. Границы MVP и допущения</w:t>
      </w:r>
    </w:p>
    <w:p>
      <w:pPr>
        <w:pStyle w:val="Heading2"/>
      </w:pPr>
      <w:r>
        <w:t>2.1. Входит в MVP</w:t>
      </w:r>
    </w:p>
    <w:p>
      <w:pPr>
        <w:pStyle w:val="ListBullet"/>
      </w:pPr>
      <w:r>
        <w:t>Синтетические PDF/JSON-инвойсы и демонстрационные организации; загрузка только после клиентского шифрования.</w:t>
      </w:r>
    </w:p>
    <w:p>
      <w:pPr>
        <w:pStyle w:val="ListBullet"/>
      </w:pPr>
      <w:r>
        <w:t>Конфиденциальное извлечение полей и признаков риска через Chainlink CRE Confidential Workflow; минимальный безопасный результат сохраняется в БД.</w:t>
      </w:r>
    </w:p>
    <w:p>
      <w:pPr>
        <w:pStyle w:val="ListBullet"/>
      </w:pPr>
      <w:r>
        <w:t>Детерминированный скоринг PD/LGD/EL, расчёт discount rate, risk grade и reserve price.</w:t>
      </w:r>
    </w:p>
    <w:p>
      <w:pPr>
        <w:pStyle w:val="ListBullet"/>
      </w:pPr>
      <w:r>
        <w:t>Live-запрос к стандартизованным данным The Graph; snapshot является обязательным входом цены.</w:t>
      </w:r>
    </w:p>
    <w:p>
      <w:pPr>
        <w:pStyle w:val="ListBullet"/>
      </w:pPr>
      <w:r>
        <w:t>Выпуск и управление активом через Hedera Asset Tokenization Studio на testnet; eligibility и transfer restrictions.</w:t>
      </w:r>
    </w:p>
    <w:p>
      <w:pPr>
        <w:pStyle w:val="ListBullet"/>
      </w:pPr>
      <w:r>
        <w:t>Пакетный аукцион с бюджетными, риск-, сроковыми и концентрационными ограничениями.</w:t>
      </w:r>
    </w:p>
    <w:p>
      <w:pPr>
        <w:pStyle w:val="ListBullet"/>
      </w:pPr>
      <w:r>
        <w:t>x402-защищённые machine API для risk quote и рекомендации по аукциону с реальной testnet-оплатой через Blocky402.</w:t>
      </w:r>
    </w:p>
    <w:p>
      <w:pPr>
        <w:pStyle w:val="ListBullet"/>
      </w:pPr>
      <w:r>
        <w:t>Наблюдаемая цепочка событий, outbox, идемпотентность и on-chain reconciliation.</w:t>
      </w:r>
    </w:p>
    <w:p>
      <w:pPr>
        <w:pStyle w:val="Heading2"/>
      </w:pPr>
      <w:r>
        <w:t>2.2. Не входит в MVP</w:t>
      </w:r>
    </w:p>
    <w:p>
      <w:pPr>
        <w:pStyle w:val="ListBullet"/>
      </w:pPr>
      <w:r>
        <w:t>Реальные кредиты, реальные деньги, юридическая уступка требования, налоговый/бухгалтерский учёт.</w:t>
      </w:r>
    </w:p>
    <w:p>
      <w:pPr>
        <w:pStyle w:val="ListBullet"/>
      </w:pPr>
      <w:r>
        <w:t>Production KYC/AML, санкционный скрининг, лицензирование или утверждение статуса ценной бумаги.</w:t>
      </w:r>
    </w:p>
    <w:p>
      <w:pPr>
        <w:pStyle w:val="ListBullet"/>
      </w:pPr>
      <w:r>
        <w:t>Гарантия подлинности реального инвойса, интеграция с ERP и подтверждение дебитором.</w:t>
      </w:r>
    </w:p>
    <w:p>
      <w:pPr>
        <w:pStyle w:val="ListBullet"/>
      </w:pPr>
      <w:r>
        <w:t>Фиатные платежи, банковский эквайринг, custody пользовательских ключей.</w:t>
      </w:r>
    </w:p>
    <w:p>
      <w:pPr>
        <w:pStyle w:val="ListBullet"/>
      </w:pPr>
      <w:r>
        <w:t>Обучение собственной foundation model; AI вызывается как заменяемый провайдер внутри защищённого workflow.</w:t>
      </w:r>
    </w:p>
    <w:p>
      <w:pPr>
        <w:pStyle w:val="ListBullet"/>
      </w:pPr>
      <w:r>
        <w:t>Высокодоступный кластер и мультичейн. Монолит и одна testnet-сеть выбраны осознанно для solo-хакатона.</w:t>
      </w:r>
    </w:p>
    <w:p>
      <w:pPr>
        <w:pStyle w:val="Heading2"/>
      </w:pPr>
      <w:r>
        <w:t>2.3. Базовые допущения</w:t>
      </w:r>
    </w:p>
    <w:p>
      <w:pPr>
        <w:pStyle w:val="ListBullet"/>
      </w:pPr>
      <w:r>
        <w:t>Организаторы разрешили предварительную регистрацию идеи и запросили ТЗ до старта; реализация начинается в разрешённый период.</w:t>
      </w:r>
    </w:p>
    <w:p>
      <w:pPr>
        <w:pStyle w:val="ListBullet"/>
      </w:pPr>
      <w:r>
        <w:t>Партнёрские правила допускают не более трёх prize submissions; одна компания может покрывать несколько собственных треков.</w:t>
      </w:r>
    </w:p>
    <w:p>
      <w:pPr>
        <w:pStyle w:val="ListBullet"/>
      </w:pPr>
      <w:r>
        <w:t>Для demo доступны Hedera Testnet, The Graph Gateway и Chainlink CRE simulation или deployment environment.</w:t>
      </w:r>
    </w:p>
    <w:p>
      <w:pPr>
        <w:pStyle w:val="ListBullet"/>
      </w:pPr>
      <w:r>
        <w:t>Все суммы хранятся в integer minor units или decimal, никогда в float64.</w:t>
      </w:r>
    </w:p>
    <w:p>
      <w:pPr>
        <w:pStyle w:val="ListBullet"/>
      </w:pPr>
      <w:r>
        <w:t>Юридическое состояние требования в MVP моделируется application state machine и on-chain lifecycle, а не юридической гарантией.</w:t>
      </w:r>
    </w:p>
    <w:p>
      <w:pPr>
        <w:pStyle w:val="Heading1"/>
      </w:pPr>
      <w:r>
        <w:t>3. Партнёрская стратегия</w:t>
      </w:r>
    </w:p>
    <w:p>
      <w:r>
        <w:t>Рекомендуемая комбинация — Hedera + The Graph + Chainlink. Она даёт один связный продукт и несколько технических углов оценки без декоративных интеграций. Privy или Bazantic остаются запасным вариантом только если правила/доступность Chainlink изменятся до submit deadline.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8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/>
            </w:pPr>
            <w:r>
              <w:rPr>
                <w:b/>
                <w:color w:val="17365D"/>
                <w:sz w:val="15"/>
              </w:rPr>
              <w:t>Партнёр / трек</w:t>
            </w:r>
          </w:p>
        </w:tc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/>
            </w:pPr>
            <w:r>
              <w:rPr>
                <w:b/>
                <w:color w:val="17365D"/>
                <w:sz w:val="15"/>
              </w:rPr>
              <w:t>Что строится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/>
            </w:pPr>
            <w:r>
              <w:rPr>
                <w:b/>
                <w:color w:val="17365D"/>
                <w:sz w:val="15"/>
              </w:rPr>
              <w:t>Почему load-bearing</w:t>
            </w:r>
          </w:p>
        </w:tc>
        <w:tc>
          <w:tcPr>
            <w:tcW w:type="dxa" w:w="1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/>
            </w:pPr>
            <w:r>
              <w:rPr>
                <w:b/>
                <w:color w:val="17365D"/>
                <w:sz w:val="15"/>
              </w:rPr>
              <w:t>Артефакт доказательства</w:t>
            </w:r>
          </w:p>
        </w:tc>
      </w:tr>
      <w:tr>
        <w:trPr>
          <w:cantSplit/>
        </w:trPr>
        <w:tc>
          <w:tcPr>
            <w:tcW w:type="dxa" w:w="18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Hedera — Tokenization of Anything</w:t>
            </w:r>
          </w:p>
        </w:tc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ATS-актив инвойса, compliance roles, выпуск, распределение, погашение/заморозка</w:t>
            </w:r>
          </w:p>
        </w:tc>
        <w:tc>
          <w:tcPr>
            <w:tcW w:type="dxa" w:w="29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Без ATS нет торгуемого регулируемого lifecycle</w:t>
            </w:r>
          </w:p>
        </w:tc>
        <w:tc>
          <w:tcPr>
            <w:tcW w:type="dxa" w:w="1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Token/contract IDs, verified calls, explorer/Mirror Node links</w:t>
            </w:r>
          </w:p>
        </w:tc>
      </w:tr>
      <w:tr>
        <w:trPr>
          <w:cantSplit/>
        </w:trPr>
        <w:tc>
          <w:tcPr>
            <w:tcW w:type="dxa" w:w="18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Hedera — AI &amp; Agentic Payments</w:t>
            </w:r>
          </w:p>
        </w:tc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Risk Quote API и Auction Recommendation API под x402/Blocky402</w:t>
            </w:r>
          </w:p>
        </w:tc>
        <w:tc>
          <w:tcPr>
            <w:tcW w:type="dxa" w:w="29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Агент не получает результат без проверенной testnet-оплаты</w:t>
            </w:r>
          </w:p>
        </w:tc>
        <w:tc>
          <w:tcPr>
            <w:tcW w:type="dxa" w:w="1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HTTP 402 → подпись → paid response → payment tx</w:t>
            </w:r>
          </w:p>
        </w:tc>
      </w:tr>
      <w:tr>
        <w:trPr>
          <w:cantSplit/>
        </w:trPr>
        <w:tc>
          <w:tcPr>
            <w:tcW w:type="dxa" w:w="18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The Graph — Standardized/Composable Products</w:t>
            </w:r>
          </w:p>
        </w:tc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Live standardized lending/yield inputs для benchmark rate</w:t>
            </w:r>
          </w:p>
        </w:tc>
        <w:tc>
          <w:tcPr>
            <w:tcW w:type="dxa" w:w="29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Snapshot непосредственно меняет reserve price и допустимость сделки</w:t>
            </w:r>
          </w:p>
        </w:tc>
        <w:tc>
          <w:tcPr>
            <w:tcW w:type="dxa" w:w="1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GraphQL query, response hash, pricing trace</w:t>
            </w:r>
          </w:p>
        </w:tc>
      </w:tr>
      <w:tr>
        <w:trPr>
          <w:cantSplit/>
        </w:trPr>
        <w:tc>
          <w:tcPr>
            <w:tcW w:type="dxa" w:w="18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The Graph — AI Tooling / AI Use Case</w:t>
            </w:r>
          </w:p>
        </w:tc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Subgraph MCP передаёт AI структурированные market facts для объяснения</w:t>
            </w:r>
          </w:p>
        </w:tc>
        <w:tc>
          <w:tcPr>
            <w:tcW w:type="dxa" w:w="29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AI отвечает на live context, а не на статический prompt</w:t>
            </w:r>
          </w:p>
        </w:tc>
        <w:tc>
          <w:tcPr>
            <w:tcW w:type="dxa" w:w="1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Prompt/response trace с Graph citations</w:t>
            </w:r>
          </w:p>
        </w:tc>
      </w:tr>
      <w:tr>
        <w:trPr>
          <w:cantSplit/>
        </w:trPr>
        <w:tc>
          <w:tcPr>
            <w:tcW w:type="dxa" w:w="18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Chainlink — Confidential Workflow</w:t>
            </w:r>
          </w:p>
        </w:tc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Go handler в TEE извлекает признаки и формирует risk payload</w:t>
            </w:r>
          </w:p>
        </w:tc>
        <w:tc>
          <w:tcPr>
            <w:tcW w:type="dxa" w:w="29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Сырой документ и секреты нельзя безопасно обрабатывать в обычном backend</w:t>
            </w:r>
          </w:p>
        </w:tc>
        <w:tc>
          <w:tcPr>
            <w:tcW w:type="dxa" w:w="1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CRE simulation/deployment logs, signed output commitment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CE8E6"/>
            <w:vAlign w:val="center"/>
          </w:tcPr>
          <w:p>
            <w:pPr>
              <w:spacing w:after="40"/>
            </w:pPr>
            <w:r>
              <w:rPr>
                <w:b/>
                <w:color w:val="17365D"/>
              </w:rPr>
              <w:t>Правило интеграции</w:t>
            </w:r>
          </w:p>
          <w:p>
            <w:pPr>
              <w:spacing w:after="0"/>
            </w:pPr>
            <w:r>
              <w:t>Если отключение партнёрской технологии не ломает основной пользовательский путь или не меняет экономический результат, интеграция считается декоративной и не включается в submit.</w:t>
            </w:r>
          </w:p>
        </w:tc>
      </w:tr>
    </w:tbl>
    <w:p>
      <w:pPr>
        <w:spacing w:after="20"/>
      </w:pPr>
    </w:p>
    <w:p>
      <w:pPr>
        <w:pStyle w:val="Heading2"/>
      </w:pPr>
      <w:r>
        <w:t>3.1. Запасной третий партнёр</w:t>
      </w:r>
    </w:p>
    <w:p>
      <w:r>
        <w:t>Если CRE недоступен, третий слот можно переключить на Privy: embedded wallet и B2B financial flow. Это упростит onboarding, но снизит уникальность privacy/AI-части. Bazantic полезен как recipe/agent demo, однако меньше усиливает коммерческое ядро. Решение о замене принимается не позднее конца первого дня разработки после smoke-test SDK.</w:t>
      </w:r>
    </w:p>
    <w:p>
      <w:pPr>
        <w:pStyle w:val="Heading1"/>
      </w:pPr>
      <w:r>
        <w:t>4. Пользовательские сценарии и бизнес-логика</w:t>
      </w:r>
    </w:p>
    <w:p>
      <w:pPr>
        <w:pStyle w:val="Heading2"/>
      </w:pPr>
      <w:r>
        <w:t>4.1. Сквозной happy path</w:t>
      </w:r>
    </w:p>
    <w:p>
      <w:pPr>
        <w:pStyle w:val="ListNumber"/>
        <w:numPr>
          <w:ilvl w:val="0"/>
          <w:numId w:val="10"/>
        </w:numPr>
      </w:pPr>
      <w:r>
        <w:t>Issuer подключает wallet, создаёт организацию и проходит demo-eligibility.</w:t>
      </w:r>
    </w:p>
    <w:p>
      <w:pPr>
        <w:pStyle w:val="ListNumber"/>
        <w:numPr>
          <w:ilvl w:val="0"/>
          <w:numId w:val="10"/>
        </w:numPr>
      </w:pPr>
      <w:r>
        <w:t>Браузер генерирует data key, шифрует PDF-инвойс и загружает ciphertext по короткоживущему presigned URL.</w:t>
      </w:r>
    </w:p>
    <w:p>
      <w:pPr>
        <w:pStyle w:val="ListNumber"/>
        <w:numPr>
          <w:ilvl w:val="0"/>
          <w:numId w:val="10"/>
        </w:numPr>
      </w:pPr>
      <w:r>
        <w:t>Backend создаёт invoice record, фиксирует SHA-256 ciphertext и ставит команду оценки в transactional outbox.</w:t>
      </w:r>
    </w:p>
    <w:p>
      <w:pPr>
        <w:pStyle w:val="ListNumber"/>
        <w:numPr>
          <w:ilvl w:val="0"/>
          <w:numId w:val="10"/>
        </w:numPr>
      </w:pPr>
      <w:r>
        <w:t>Chainlink CRE Confidential Workflow получает защищённую ссылку и ключ как confidential inputs; Go HandlerInTee расшифровывает документ только внутри TEE.</w:t>
      </w:r>
    </w:p>
    <w:p>
      <w:pPr>
        <w:pStyle w:val="ListNumber"/>
        <w:numPr>
          <w:ilvl w:val="0"/>
          <w:numId w:val="10"/>
        </w:numPr>
      </w:pPr>
      <w:r>
        <w:t>Workflow извлекает структурированные поля, проверяет арифметику, вычисляет признаки и возвращает signed minimal payload без полного текста документа.</w:t>
      </w:r>
    </w:p>
    <w:p>
      <w:pPr>
        <w:pStyle w:val="ListNumber"/>
        <w:numPr>
          <w:ilvl w:val="0"/>
          <w:numId w:val="10"/>
        </w:numPr>
      </w:pPr>
      <w:r>
        <w:t>Go-монолит валидирует payload, получает live market snapshot из The Graph и рассчитывает PD, LGD, expected loss, discount rate, grade и reserve price.</w:t>
      </w:r>
    </w:p>
    <w:p>
      <w:pPr>
        <w:pStyle w:val="ListNumber"/>
        <w:numPr>
          <w:ilvl w:val="0"/>
          <w:numId w:val="10"/>
        </w:numPr>
      </w:pPr>
      <w:r>
        <w:t>Issuer подтверждает структурированные данные и инициирует выпуск. React использует ATS TypeScript SDK для wallet-signed операций; backend наблюдает финализацию.</w:t>
      </w:r>
    </w:p>
    <w:p>
      <w:pPr>
        <w:pStyle w:val="ListNumber"/>
        <w:numPr>
          <w:ilvl w:val="0"/>
          <w:numId w:val="10"/>
        </w:numPr>
      </w:pPr>
      <w:r>
        <w:t>Инвесторы подают заявки: бюджет, минимальная доходность, максимальный grade, срок и концентрация на issuer/debtor.</w:t>
      </w:r>
    </w:p>
    <w:p>
      <w:pPr>
        <w:pStyle w:val="ListNumber"/>
        <w:numPr>
          <w:ilvl w:val="0"/>
          <w:numId w:val="10"/>
        </w:numPr>
      </w:pPr>
      <w:r>
        <w:t>После закрытия аукциона Go optimizer строит feasible graph, оптимизирует распределение, проверяет инварианты и сохраняет allocation certificate.</w:t>
      </w:r>
    </w:p>
    <w:p>
      <w:pPr>
        <w:pStyle w:val="ListNumber"/>
        <w:numPr>
          <w:ilvl w:val="0"/>
          <w:numId w:val="10"/>
        </w:numPr>
      </w:pPr>
      <w:r>
        <w:t>Settlement orchestration исполняет допустимые передачи ATS-актива; reconcile worker сопоставляет application state и Mirror Node.</w:t>
      </w:r>
    </w:p>
    <w:p>
      <w:pPr>
        <w:pStyle w:val="ListNumber"/>
        <w:numPr>
          <w:ilvl w:val="0"/>
          <w:numId w:val="10"/>
        </w:numPr>
      </w:pPr>
      <w:r>
        <w:t>Отдельный consumer-agent вызывает /paid/v1/risk-quote, получает HTTP 402, оплачивает запрос через Blocky402 на Hedera и получает ответ.</w:t>
      </w:r>
    </w:p>
    <w:p>
      <w:pPr>
        <w:pStyle w:val="ListNumber"/>
        <w:numPr>
          <w:ilvl w:val="0"/>
          <w:numId w:val="10"/>
        </w:numPr>
      </w:pPr>
      <w:r>
        <w:t>Demo-оператор моделирует погашение или default; баланс/статус актива, журнал и итог инвестора обновляются согласованно.</w:t>
      </w:r>
    </w:p>
    <w:p>
      <w:pPr>
        <w:pStyle w:val="Heading2"/>
      </w:pPr>
      <w:r>
        <w:t>4.2. Состояния инвойса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CodeBlock"/>
            </w:pPr>
            <w:r>
              <w:t>DRAFT → UPLOADED → EXTRACTING → ASSESSED → APPROVED → TOKENIZING → TOKENIZED</w:t>
              <w:br/>
              <w:t xml:space="preserve">      ↘ REJECTED              ↘ FAILED      ↘ FAILED</w:t>
              <w:br/>
              <w:t>TOKENIZED → AUCTION_OPEN → ALLOCATED → SETTLED → MATURED</w:t>
              <w:br/>
              <w:t xml:space="preserve">                                      ↘ DEFAULTED</w:t>
            </w:r>
          </w:p>
        </w:tc>
      </w:tr>
    </w:tbl>
    <w:p>
      <w:pPr>
        <w:spacing w:after="20"/>
      </w:pPr>
    </w:p>
    <w:p>
      <w:r>
        <w:t>Переходы выполняются только командами доменного сервиса. Клиент не записывает status напрямую. Каждая команда проверяет текущую версию записи и idempotency key; конфликт возвращает HTTP 409.</w:t>
      </w:r>
    </w:p>
    <w:p>
      <w:pPr>
        <w:pStyle w:val="Heading2"/>
      </w:pPr>
      <w:r>
        <w:t>4.3. Состояния аукциона и x402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CodeBlock"/>
            </w:pPr>
            <w:r>
              <w:t>Auction: DRAFT → OPEN → CLEARING → CLEARED → SETTLING → SETTLED</w:t>
              <w:br/>
              <w:t xml:space="preserve">             ↘ CANCELLED          ↘ FAILED          ↘ FAILED</w:t>
              <w:br/>
              <w:br/>
              <w:t>x402: PAYMENT_REQUIRED → SIGNED → VERIFIED → PROCESSED → SETTLED</w:t>
              <w:br/>
              <w:t xml:space="preserve">                               ↘ REJECTED</w:t>
            </w:r>
          </w:p>
        </w:tc>
      </w:tr>
    </w:tbl>
    <w:p>
      <w:pPr>
        <w:spacing w:after="20"/>
      </w:pPr>
    </w:p>
    <w:p>
      <w:pPr>
        <w:pStyle w:val="Heading2"/>
      </w:pPr>
      <w:r>
        <w:t>4.4. Исключения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/>
            </w:pPr>
            <w:r>
              <w:rPr>
                <w:b/>
                <w:color w:val="17365D"/>
                <w:sz w:val="17"/>
              </w:rPr>
              <w:t>Ситуация</w:t>
            </w:r>
          </w:p>
        </w:tc>
        <w:tc>
          <w:tcPr>
            <w:tcW w:type="dxa" w:w="6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/>
            </w:pPr>
            <w:r>
              <w:rPr>
                <w:b/>
                <w:color w:val="17365D"/>
                <w:sz w:val="17"/>
              </w:rPr>
              <w:t>Поведение системы</w:t>
            </w:r>
          </w:p>
        </w:tc>
      </w:tr>
      <w:tr>
        <w:trPr>
          <w:cantSplit/>
        </w:trP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TEE не отвечает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Экспоненциальный retry с jitter, максимум 3 попытки; затем ASSESSMENT_FAILED и безопасный ручной retry</w:t>
            </w:r>
          </w:p>
        </w:tc>
      </w:tr>
      <w:tr>
        <w:trPr>
          <w:cantSplit/>
        </w:trP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LLM вернул невалидный JSON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Schema validation → одна repair-попытка → deterministic parser fallback → fail closed</w:t>
            </w:r>
          </w:p>
        </w:tc>
      </w:tr>
      <w:tr>
        <w:trPr>
          <w:cantSplit/>
        </w:trP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Graph data устарели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Snapshot старше TTL не применяется; цена не публикуется, показывается DATA_STALE</w:t>
            </w:r>
          </w:p>
        </w:tc>
      </w:tr>
      <w:tr>
        <w:trPr>
          <w:cantSplit/>
        </w:trP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On-chain tx pending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Локальное состояние остаётся *_PENDING; повторная команда с тем же idempotency key не отправляет второй tx</w:t>
            </w:r>
          </w:p>
        </w:tc>
      </w:tr>
      <w:tr>
        <w:trPr>
          <w:cantSplit/>
        </w:trP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Частичное settlement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Останавливается batch; уже финализированные transfers не откатываются, запускается reconciliation/compensation</w:t>
            </w:r>
          </w:p>
        </w:tc>
      </w:tr>
      <w:tr>
        <w:trPr>
          <w:cantSplit/>
        </w:trP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Платёж x402 повторён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Nonce + payment hash обеспечивает exactly-once business effect; повтор получает сохранённый ответ</w:t>
            </w:r>
          </w:p>
        </w:tc>
      </w:tr>
      <w:tr>
        <w:trPr>
          <w:cantSplit/>
        </w:trP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Нет допустимого matching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Auction получает CLEARED с нулевым allocation и объяснением violated constraints</w:t>
            </w:r>
          </w:p>
        </w:tc>
      </w:tr>
    </w:tbl>
    <w:p>
      <w:pPr>
        <w:spacing w:after="20"/>
      </w:pPr>
    </w:p>
    <w:p>
      <w:pPr>
        <w:pStyle w:val="Heading1"/>
      </w:pPr>
      <w:r>
        <w:t>5. Архитектура и модули монолита</w:t>
      </w:r>
    </w:p>
    <w:p>
      <w:r>
        <w:t>Выбран модульный монолит: один Go process и одна PostgreSQL database, но с жёсткими пакетными границами и внутренними портами. Это уменьшает операционный риск solo-разработки, сохраняя возможность вынести confidential orchestration или optimizer в отдельный сервис после MVP.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2611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flow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61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Рисунок 1. Компоненты и границы доверия FactorFlow</w:t>
      </w:r>
    </w:p>
    <w:p>
      <w:pPr>
        <w:pStyle w:val="Heading2"/>
      </w:pPr>
      <w:r>
        <w:t>5.1. Физические компоненты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/>
            </w:pPr>
            <w:r>
              <w:rPr>
                <w:b/>
                <w:color w:val="17365D"/>
                <w:sz w:val="16"/>
              </w:rPr>
              <w:t>Компонент</w:t>
            </w:r>
          </w:p>
        </w:tc>
        <w:tc>
          <w:tcPr>
            <w:tcW w:type="dxa" w:w="4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/>
            </w:pPr>
            <w:r>
              <w:rPr>
                <w:b/>
                <w:color w:val="17365D"/>
                <w:sz w:val="16"/>
              </w:rPr>
              <w:t>Ответственность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/>
            </w:pPr>
            <w:r>
              <w:rPr>
                <w:b/>
                <w:color w:val="17365D"/>
                <w:sz w:val="16"/>
              </w:rPr>
              <w:t>Хранит состояние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React SPA</w:t>
            </w:r>
          </w:p>
        </w:tc>
        <w:tc>
          <w:tcPr>
            <w:tcW w:type="dxa" w:w="4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UI, wallet signatures, client-side encryption, live progress</w:t>
            </w:r>
          </w:p>
        </w:tc>
        <w:tc>
          <w:tcPr>
            <w:tcW w:type="dxa" w:w="2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Только ephemeral UI state и wallet session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Go application</w:t>
            </w:r>
          </w:p>
        </w:tc>
        <w:tc>
          <w:tcPr>
            <w:tcW w:type="dxa" w:w="4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REST, доменная логика, optimizer, workers, adapters</w:t>
            </w:r>
          </w:p>
        </w:tc>
        <w:tc>
          <w:tcPr>
            <w:tcW w:type="dxa" w:w="2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Нет локального persistent state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PostgreSQL</w:t>
            </w:r>
          </w:p>
        </w:tc>
        <w:tc>
          <w:tcPr>
            <w:tcW w:type="dxa" w:w="4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Транзакции, версии, audit, outbox, snapshots</w:t>
            </w:r>
          </w:p>
        </w:tc>
        <w:tc>
          <w:tcPr>
            <w:tcW w:type="dxa" w:w="2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Структурированные данные; без plaintext PDF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S3-compatible storage</w:t>
            </w:r>
          </w:p>
        </w:tc>
        <w:tc>
          <w:tcPr>
            <w:tcW w:type="dxa" w:w="4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Encrypted document blobs</w:t>
            </w:r>
          </w:p>
        </w:tc>
        <w:tc>
          <w:tcPr>
            <w:tcW w:type="dxa" w:w="2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Ciphertext + metadata only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Chainlink CRE / TEE</w:t>
            </w:r>
          </w:p>
        </w:tc>
        <w:tc>
          <w:tcPr>
            <w:tcW w:type="dxa" w:w="4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Confidential parsing and feature derivation</w:t>
            </w:r>
          </w:p>
        </w:tc>
        <w:tc>
          <w:tcPr>
            <w:tcW w:type="dxa" w:w="2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Ephemeral execution; signed minimal result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The Graph</w:t>
            </w:r>
          </w:p>
        </w:tc>
        <w:tc>
          <w:tcPr>
            <w:tcW w:type="dxa" w:w="4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Live standardized protocol data</w:t>
            </w:r>
          </w:p>
        </w:tc>
        <w:tc>
          <w:tcPr>
            <w:tcW w:type="dxa" w:w="2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External indexed chain data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Hedera + ATS + Blocky402</w:t>
            </w:r>
          </w:p>
        </w:tc>
        <w:tc>
          <w:tcPr>
            <w:tcW w:type="dxa" w:w="4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Asset lifecycle, transfers, payments, public evidence</w:t>
            </w:r>
          </w:p>
        </w:tc>
        <w:tc>
          <w:tcPr>
            <w:tcW w:type="dxa" w:w="2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On-chain state</w:t>
            </w:r>
          </w:p>
        </w:tc>
      </w:tr>
    </w:tbl>
    <w:p>
      <w:pPr>
        <w:spacing w:after="20"/>
      </w:pPr>
    </w:p>
    <w:p>
      <w:pPr>
        <w:pStyle w:val="Heading2"/>
      </w:pPr>
      <w:r>
        <w:t>5.2. Внутренние модули Go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/>
            </w:pPr>
            <w:r>
              <w:rPr>
                <w:b/>
                <w:color w:val="17365D"/>
                <w:sz w:val="15"/>
              </w:rPr>
              <w:t>Модуль</w:t>
            </w:r>
          </w:p>
        </w:tc>
        <w:tc>
          <w:tcPr>
            <w:tcW w:type="dxa" w:w="4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/>
            </w:pPr>
            <w:r>
              <w:rPr>
                <w:b/>
                <w:color w:val="17365D"/>
                <w:sz w:val="15"/>
              </w:rPr>
              <w:t>Содержит</w:t>
            </w:r>
          </w:p>
        </w:tc>
        <w:tc>
          <w:tcPr>
            <w:tcW w:type="dxa" w:w="303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/>
            </w:pPr>
            <w:r>
              <w:rPr>
                <w:b/>
                <w:color w:val="17365D"/>
                <w:sz w:val="15"/>
              </w:rPr>
              <w:t>Запрещённая зависимость</w:t>
            </w:r>
          </w:p>
        </w:tc>
      </w:tr>
      <w:tr>
        <w:trPr>
          <w:cantSplit/>
        </w:trPr>
        <w:tc>
          <w:tcPr>
            <w:tcW w:type="dxa" w:w="1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identity</w:t>
            </w:r>
          </w:p>
        </w:tc>
        <w:tc>
          <w:tcPr>
            <w:tcW w:type="dxa" w:w="46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Wallet challenge, sessions, RBAC, memberships</w:t>
            </w:r>
          </w:p>
        </w:tc>
        <w:tc>
          <w:tcPr>
            <w:tcW w:type="dxa" w:w="303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Не знает об auction/chain</w:t>
            </w:r>
          </w:p>
        </w:tc>
      </w:tr>
      <w:tr>
        <w:trPr>
          <w:cantSplit/>
        </w:trPr>
        <w:tc>
          <w:tcPr>
            <w:tcW w:type="dxa" w:w="1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organization</w:t>
            </w:r>
          </w:p>
        </w:tc>
        <w:tc>
          <w:tcPr>
            <w:tcW w:type="dxa" w:w="46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Issuer/investor profiles, demo eligibility</w:t>
            </w:r>
          </w:p>
        </w:tc>
        <w:tc>
          <w:tcPr>
            <w:tcW w:type="dxa" w:w="303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Не вызывает внешние SDK</w:t>
            </w:r>
          </w:p>
        </w:tc>
      </w:tr>
      <w:tr>
        <w:trPr>
          <w:cantSplit/>
        </w:trPr>
        <w:tc>
          <w:tcPr>
            <w:tcW w:type="dxa" w:w="1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invoice</w:t>
            </w:r>
          </w:p>
        </w:tc>
        <w:tc>
          <w:tcPr>
            <w:tcW w:type="dxa" w:w="46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Aggregate, document metadata, state machine</w:t>
            </w:r>
          </w:p>
        </w:tc>
        <w:tc>
          <w:tcPr>
            <w:tcW w:type="dxa" w:w="303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Не обращается напрямую к DB/chain adapters</w:t>
            </w:r>
          </w:p>
        </w:tc>
      </w:tr>
      <w:tr>
        <w:trPr>
          <w:cantSplit/>
        </w:trPr>
        <w:tc>
          <w:tcPr>
            <w:tcW w:type="dxa" w:w="1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risk</w:t>
            </w:r>
          </w:p>
        </w:tc>
        <w:tc>
          <w:tcPr>
            <w:tcW w:type="dxa" w:w="46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Assessment orchestration, feature schema, scoring</w:t>
            </w:r>
          </w:p>
        </w:tc>
        <w:tc>
          <w:tcPr>
            <w:tcW w:type="dxa" w:w="303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LLM не изменяет финальный score</w:t>
            </w:r>
          </w:p>
        </w:tc>
      </w:tr>
      <w:tr>
        <w:trPr>
          <w:cantSplit/>
        </w:trPr>
        <w:tc>
          <w:tcPr>
            <w:tcW w:type="dxa" w:w="1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marketdata</w:t>
            </w:r>
          </w:p>
        </w:tc>
        <w:tc>
          <w:tcPr>
            <w:tcW w:type="dxa" w:w="46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Graph queries, normalization, snapshot TTL</w:t>
            </w:r>
          </w:p>
        </w:tc>
        <w:tc>
          <w:tcPr>
            <w:tcW w:type="dxa" w:w="303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Не решает аукцион</w:t>
            </w:r>
          </w:p>
        </w:tc>
      </w:tr>
      <w:tr>
        <w:trPr>
          <w:cantSplit/>
        </w:trPr>
        <w:tc>
          <w:tcPr>
            <w:tcW w:type="dxa" w:w="1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tokenization</w:t>
            </w:r>
          </w:p>
        </w:tc>
        <w:tc>
          <w:tcPr>
            <w:tcW w:type="dxa" w:w="46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ATS commands, eligibility, lifecycle mirror</w:t>
            </w:r>
          </w:p>
        </w:tc>
        <w:tc>
          <w:tcPr>
            <w:tcW w:type="dxa" w:w="303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Не принимает HTTP DTO как domain object</w:t>
            </w:r>
          </w:p>
        </w:tc>
      </w:tr>
      <w:tr>
        <w:trPr>
          <w:cantSplit/>
        </w:trPr>
        <w:tc>
          <w:tcPr>
            <w:tcW w:type="dxa" w:w="1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auction</w:t>
            </w:r>
          </w:p>
        </w:tc>
        <w:tc>
          <w:tcPr>
            <w:tcW w:type="dxa" w:w="46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Bids, constraints, solver, certificate</w:t>
            </w:r>
          </w:p>
        </w:tc>
        <w:tc>
          <w:tcPr>
            <w:tcW w:type="dxa" w:w="303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Не отправляет on-chain tx внутри DB transaction</w:t>
            </w:r>
          </w:p>
        </w:tc>
      </w:tr>
      <w:tr>
        <w:trPr>
          <w:cantSplit/>
        </w:trPr>
        <w:tc>
          <w:tcPr>
            <w:tcW w:type="dxa" w:w="1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settlement</w:t>
            </w:r>
          </w:p>
        </w:tc>
        <w:tc>
          <w:tcPr>
            <w:tcW w:type="dxa" w:w="46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Transfer plan, execution saga, reconciliation</w:t>
            </w:r>
          </w:p>
        </w:tc>
        <w:tc>
          <w:tcPr>
            <w:tcW w:type="dxa" w:w="303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Не повторяет tx без idempotency</w:t>
            </w:r>
          </w:p>
        </w:tc>
      </w:tr>
      <w:tr>
        <w:trPr>
          <w:cantSplit/>
        </w:trPr>
        <w:tc>
          <w:tcPr>
            <w:tcW w:type="dxa" w:w="1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payments</w:t>
            </w:r>
          </w:p>
        </w:tc>
        <w:tc>
          <w:tcPr>
            <w:tcW w:type="dxa" w:w="46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x402 challenge, verification, response cache</w:t>
            </w:r>
          </w:p>
        </w:tc>
        <w:tc>
          <w:tcPr>
            <w:tcW w:type="dxa" w:w="303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Не хранит private wallet keys</w:t>
            </w:r>
          </w:p>
        </w:tc>
      </w:tr>
      <w:tr>
        <w:trPr>
          <w:cantSplit/>
        </w:trPr>
        <w:tc>
          <w:tcPr>
            <w:tcW w:type="dxa" w:w="1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platform</w:t>
            </w:r>
          </w:p>
        </w:tc>
        <w:tc>
          <w:tcPr>
            <w:tcW w:type="dxa" w:w="46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Postgres, outbox, telemetry, config, crypto ports</w:t>
            </w:r>
          </w:p>
        </w:tc>
        <w:tc>
          <w:tcPr>
            <w:tcW w:type="dxa" w:w="303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Не содержит бизнес-правил</w:t>
            </w:r>
          </w:p>
        </w:tc>
      </w:tr>
    </w:tbl>
    <w:p>
      <w:pPr>
        <w:spacing w:after="20"/>
      </w:pPr>
    </w:p>
    <w:p>
      <w:pPr>
        <w:pStyle w:val="Heading2"/>
      </w:pPr>
      <w:r>
        <w:t>5.3. Рекомендуемая структура репозитория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CodeBlock"/>
            </w:pPr>
            <w:r>
              <w:t>cmd/factorflow/main.go</w:t>
              <w:br/>
              <w:t>internal/{identity,organization,invoice,risk,marketdata,tokenization,auction,settlement,payments}/</w:t>
              <w:br/>
              <w:t>internal/platform/{postgres,httpserver,outbox,telemetry,objectstore}/</w:t>
              <w:br/>
              <w:t>contracts/{src,script,test}/</w:t>
              <w:br/>
              <w:t>web/{src,public}/</w:t>
              <w:br/>
              <w:t>cre-workflows/invoice-risk-go/</w:t>
              <w:br/>
              <w:t>migrations/  testdata/  deploy/  docs/</w:t>
            </w:r>
          </w:p>
        </w:tc>
      </w:tr>
    </w:tbl>
    <w:p>
      <w:pPr>
        <w:spacing w:after="20"/>
      </w:pPr>
    </w:p>
    <w:p>
      <w:r>
        <w:t>Внутри каждого доменного модуля: domain.go, service.go, ports.go, postgres.go, http.go. Импорты направлены от transport/adapters к application/domain; циклические зависимости запрещены линтером/architecture test.</w:t>
      </w:r>
    </w:p>
    <w:p>
      <w:pPr>
        <w:pStyle w:val="Heading1"/>
      </w:pPr>
      <w:r>
        <w:t>6. Технологии и SDK</w:t>
      </w:r>
    </w:p>
    <w:p>
      <w:r>
        <w:t>Точные версии фиксируются lock-файлами в первый день и не обновляются без причины во время хакатона. Ниже указаны семейства библиотек; текущие совместимые версии проверяются при реализации.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/>
            </w:pPr>
            <w:r>
              <w:rPr>
                <w:b/>
                <w:color w:val="17365D"/>
                <w:sz w:val="15"/>
              </w:rPr>
              <w:t>Слой</w:t>
            </w:r>
          </w:p>
        </w:tc>
        <w:tc>
          <w:tcPr>
            <w:tcW w:type="dxa" w:w="3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/>
            </w:pPr>
            <w:r>
              <w:rPr>
                <w:b/>
                <w:color w:val="17365D"/>
                <w:sz w:val="15"/>
              </w:rPr>
              <w:t>Технология / SDK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/>
            </w:pPr>
            <w:r>
              <w:rPr>
                <w:b/>
                <w:color w:val="17365D"/>
                <w:sz w:val="15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Backend</w:t>
            </w:r>
          </w:p>
        </w:tc>
        <w:tc>
          <w:tcPr>
            <w:tcW w:type="dxa" w:w="3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Go; net/http + chi/v5; pgx/v5; goose</w:t>
            </w:r>
          </w:p>
        </w:tc>
        <w:tc>
          <w:tcPr>
            <w:tcW w:type="dxa" w:w="3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API, middleware, PostgreSQL, migrations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Domain</w:t>
            </w:r>
          </w:p>
        </w:tc>
        <w:tc>
          <w:tcPr>
            <w:tcW w:type="dxa" w:w="3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shopspring/decimal; google/uuid; validator/v10</w:t>
            </w:r>
          </w:p>
        </w:tc>
        <w:tc>
          <w:tcPr>
            <w:tcW w:type="dxa" w:w="3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Money/percent precision, IDs, boundary validation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Chain</w:t>
            </w:r>
          </w:p>
        </w:tc>
        <w:tc>
          <w:tcPr>
            <w:tcW w:type="dxa" w:w="3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hedera-sdk-go/v2; go-ethereum ABI/RPC</w:t>
            </w:r>
          </w:p>
        </w:tc>
        <w:tc>
          <w:tcPr>
            <w:tcW w:type="dxa" w:w="3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Hedera accounts/queries and ATS EVM contract calls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Frontend</w:t>
            </w:r>
          </w:p>
        </w:tc>
        <w:tc>
          <w:tcPr>
            <w:tcW w:type="dxa" w:w="3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React + TypeScript + Vite</w:t>
            </w:r>
          </w:p>
        </w:tc>
        <w:tc>
          <w:tcPr>
            <w:tcW w:type="dxa" w:w="3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Single-page application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Frontend data</w:t>
            </w:r>
          </w:p>
        </w:tc>
        <w:tc>
          <w:tcPr>
            <w:tcW w:type="dxa" w:w="3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TanStack Query/Router/Table; Zod; React Hook Form</w:t>
            </w:r>
          </w:p>
        </w:tc>
        <w:tc>
          <w:tcPr>
            <w:tcW w:type="dxa" w:w="3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Server state, routing, validation, forms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Wallet/Web3</w:t>
            </w:r>
          </w:p>
        </w:tc>
        <w:tc>
          <w:tcPr>
            <w:tcW w:type="dxa" w:w="3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wagmi + viem; Hedera-compatible wallet connector</w:t>
            </w:r>
          </w:p>
        </w:tc>
        <w:tc>
          <w:tcPr>
            <w:tcW w:type="dxa" w:w="3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Wallet connection and signed transactions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UI</w:t>
            </w:r>
          </w:p>
        </w:tc>
        <w:tc>
          <w:tcPr>
            <w:tcW w:type="dxa" w:w="3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Tailwind CSS; shadcn/ui; Recharts</w:t>
            </w:r>
          </w:p>
        </w:tc>
        <w:tc>
          <w:tcPr>
            <w:tcW w:type="dxa" w:w="3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Responsive screens and auction/risk visualization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Tokenization</w:t>
            </w:r>
          </w:p>
        </w:tc>
        <w:tc>
          <w:tcPr>
            <w:tcW w:type="dxa" w:w="3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Hedera Asset Tokenization Studio; @hashgraph/asset-tokenization-sdk</w:t>
            </w:r>
          </w:p>
        </w:tc>
        <w:tc>
          <w:tcPr>
            <w:tcW w:type="dxa" w:w="3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Issue/manage compliant tokenized asset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Contracts</w:t>
            </w:r>
          </w:p>
        </w:tc>
        <w:tc>
          <w:tcPr>
            <w:tcW w:type="dxa" w:w="3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Solidity; Foundry; OpenZeppelin</w:t>
            </w:r>
          </w:p>
        </w:tc>
        <w:tc>
          <w:tcPr>
            <w:tcW w:type="dxa" w:w="3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Settlement helpers, adapter contracts, tests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Data</w:t>
            </w:r>
          </w:p>
        </w:tc>
        <w:tc>
          <w:tcPr>
            <w:tcW w:type="dxa" w:w="3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The Graph Gateway; GraphQL; Standardized Subgraphs; Subgraph MCP</w:t>
            </w:r>
          </w:p>
        </w:tc>
        <w:tc>
          <w:tcPr>
            <w:tcW w:type="dxa" w:w="3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Live market benchmarks and AI context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Confidential AI</w:t>
            </w:r>
          </w:p>
        </w:tc>
        <w:tc>
          <w:tcPr>
            <w:tcW w:type="dxa" w:w="3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Chainlink CRE Go SDK/CLI; cre.HandlerInTee</w:t>
            </w:r>
          </w:p>
        </w:tc>
        <w:tc>
          <w:tcPr>
            <w:tcW w:type="dxa" w:w="3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Private workflow in TEE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Agent payments</w:t>
            </w:r>
          </w:p>
        </w:tc>
        <w:tc>
          <w:tcPr>
            <w:tcW w:type="dxa" w:w="3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x402 protocol + Blocky402</w:t>
            </w:r>
          </w:p>
        </w:tc>
        <w:tc>
          <w:tcPr>
            <w:tcW w:type="dxa" w:w="3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HTTP 402 payment on Hedera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Observability</w:t>
            </w:r>
          </w:p>
        </w:tc>
        <w:tc>
          <w:tcPr>
            <w:tcW w:type="dxa" w:w="3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OpenTelemetry; Prometheus; zerolog</w:t>
            </w:r>
          </w:p>
        </w:tc>
        <w:tc>
          <w:tcPr>
            <w:tcW w:type="dxa" w:w="3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Traces, metrics, structured logs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Tests</w:t>
            </w:r>
          </w:p>
        </w:tc>
        <w:tc>
          <w:tcPr>
            <w:tcW w:type="dxa" w:w="3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testing; testify; testcontainers-go; Playwright; Foundry</w:t>
            </w:r>
          </w:p>
        </w:tc>
        <w:tc>
          <w:tcPr>
            <w:tcW w:type="dxa" w:w="3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Unit/property/integration/E2E/contract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Deployment</w:t>
            </w:r>
          </w:p>
        </w:tc>
        <w:tc>
          <w:tcPr>
            <w:tcW w:type="dxa" w:w="3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Docker Compose; Caddy; GitHub Actions</w:t>
            </w:r>
          </w:p>
        </w:tc>
        <w:tc>
          <w:tcPr>
            <w:tcW w:type="dxa" w:w="3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One-VPS build, TLS, CI/CD</w:t>
            </w:r>
          </w:p>
        </w:tc>
      </w:tr>
    </w:tbl>
    <w:p>
      <w:pPr>
        <w:spacing w:after="20"/>
      </w:pPr>
    </w:p>
    <w:p>
      <w:pPr>
        <w:pStyle w:val="Heading2"/>
      </w:pPr>
      <w:r>
        <w:t>6.1. Почему ATS TypeScript SDK при Go backend</w:t>
      </w:r>
    </w:p>
    <w:p>
      <w:r>
        <w:t>ATS предоставляет официальный TypeScript SDK и React-oriented tooling. Поэтому операции, требующие подписи владельца, инициируются в React через официальный SDK. Go остаётся единственным backend: готовит typed command, проверяет право, выдаёт nonce, наблюдает receipt через JSON-RPC/Mirror Node и обновляет доменное состояние. Server-side read/write adapters используют Hedera Go SDK и ABI вызовы. Второго application backend на Node.js не создаётся.</w:t>
      </w:r>
    </w:p>
    <w:p>
      <w:pPr>
        <w:pStyle w:val="Heading2"/>
      </w:pPr>
      <w:r>
        <w:t>6.2. Правила выбора зависимостей</w:t>
      </w:r>
    </w:p>
    <w:p>
      <w:pPr>
        <w:pStyle w:val="ListBullet"/>
      </w:pPr>
      <w:r>
        <w:t>Минимум зависимостей; каждое SDK должно иметь конкретный use case в demo.</w:t>
      </w:r>
    </w:p>
    <w:p>
      <w:pPr>
        <w:pStyle w:val="ListBullet"/>
      </w:pPr>
      <w:r>
        <w:t>Все commit hashes/версии внешних контрактов фиксируются в README и lock-файлах.</w:t>
      </w:r>
    </w:p>
    <w:p>
      <w:pPr>
        <w:pStyle w:val="ListBullet"/>
      </w:pPr>
      <w:r>
        <w:t>От внешнего провайдера существует interface + fake для тестов, но submit-demo использует live provider.</w:t>
      </w:r>
    </w:p>
    <w:p>
      <w:pPr>
        <w:pStyle w:val="ListBullet"/>
      </w:pPr>
      <w:r>
        <w:t>Секреты поступают только через environment/secret store; .env не коммитится.</w:t>
      </w:r>
    </w:p>
    <w:p>
      <w:pPr>
        <w:pStyle w:val="Heading1"/>
      </w:pPr>
      <w:r>
        <w:t>7. Данные и API</w:t>
      </w:r>
    </w:p>
    <w:p>
      <w:pPr>
        <w:pStyle w:val="Heading2"/>
      </w:pPr>
      <w:r>
        <w:t>7.1. Основная модель данных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/>
            </w:pPr>
            <w:r>
              <w:rPr>
                <w:b/>
                <w:color w:val="17365D"/>
                <w:sz w:val="15"/>
              </w:rPr>
              <w:t>Таблица</w:t>
            </w:r>
          </w:p>
        </w:tc>
        <w:tc>
          <w:tcPr>
            <w:tcW w:type="dxa" w:w="51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/>
            </w:pPr>
            <w:r>
              <w:rPr>
                <w:b/>
                <w:color w:val="17365D"/>
                <w:sz w:val="15"/>
              </w:rPr>
              <w:t>Ключевые поля</w:t>
            </w:r>
          </w:p>
        </w:tc>
        <w:tc>
          <w:tcPr>
            <w:tcW w:type="dxa" w:w="2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/>
            </w:pPr>
            <w:r>
              <w:rPr>
                <w:b/>
                <w:color w:val="17365D"/>
                <w:sz w:val="15"/>
              </w:rPr>
              <w:t>Инвариант</w:t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organizations</w:t>
            </w:r>
          </w:p>
        </w:tc>
        <w:tc>
          <w:tcPr>
            <w:tcW w:type="dxa" w:w="51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id, type, name, wallet, eligibility_status</w:t>
            </w:r>
          </w:p>
        </w:tc>
        <w:tc>
          <w:tcPr>
            <w:tcW w:type="dxa" w:w="26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wallet unique per org in MVP</w:t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users / memberships</w:t>
            </w:r>
          </w:p>
        </w:tc>
        <w:tc>
          <w:tcPr>
            <w:tcW w:type="dxa" w:w="51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user_id, org_id, role</w:t>
            </w:r>
          </w:p>
        </w:tc>
        <w:tc>
          <w:tcPr>
            <w:tcW w:type="dxa" w:w="26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role scoped to organization</w:t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invoices</w:t>
            </w:r>
          </w:p>
        </w:tc>
        <w:tc>
          <w:tcPr>
            <w:tcW w:type="dxa" w:w="51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id, issuer_id, debtor_ref, face_minor, currency, due_at, status, version</w:t>
            </w:r>
          </w:p>
        </w:tc>
        <w:tc>
          <w:tcPr>
            <w:tcW w:type="dxa" w:w="26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face &gt; 0; due_at &gt; issue_at</w:t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invoice_documents</w:t>
            </w:r>
          </w:p>
        </w:tc>
        <w:tc>
          <w:tcPr>
            <w:tcW w:type="dxa" w:w="51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invoice_id, object_key, cipher_hash, key_ref, mime</w:t>
            </w:r>
          </w:p>
        </w:tc>
        <w:tc>
          <w:tcPr>
            <w:tcW w:type="dxa" w:w="26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no plaintext; hash immutable</w:t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risk_assessments</w:t>
            </w:r>
          </w:p>
        </w:tc>
        <w:tc>
          <w:tcPr>
            <w:tcW w:type="dxa" w:w="51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features_json, pd, lgd, el, grade, commitment, model_version</w:t>
            </w:r>
          </w:p>
        </w:tc>
        <w:tc>
          <w:tcPr>
            <w:tcW w:type="dxa" w:w="26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immutable assessment versions</w:t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market_snapshots</w:t>
            </w:r>
          </w:p>
        </w:tc>
        <w:tc>
          <w:tcPr>
            <w:tcW w:type="dxa" w:w="51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provider, query_hash, payload_hash, benchmark, observed_at</w:t>
            </w:r>
          </w:p>
        </w:tc>
        <w:tc>
          <w:tcPr>
            <w:tcW w:type="dxa" w:w="26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pricing refers to exact snapshot</w:t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tokenized_assets</w:t>
            </w:r>
          </w:p>
        </w:tc>
        <w:tc>
          <w:tcPr>
            <w:tcW w:type="dxa" w:w="51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invoice_id, network, contract/token_id, supply, chain_status</w:t>
            </w:r>
          </w:p>
        </w:tc>
        <w:tc>
          <w:tcPr>
            <w:tcW w:type="dxa" w:w="26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one active asset per approved invoice</w:t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auctions</w:t>
            </w:r>
          </w:p>
        </w:tc>
        <w:tc>
          <w:tcPr>
            <w:tcW w:type="dxa" w:w="51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asset_id, opens_at, closes_at, status, solver_version</w:t>
            </w:r>
          </w:p>
        </w:tc>
        <w:tc>
          <w:tcPr>
            <w:tcW w:type="dxa" w:w="26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one open auction per asset</w:t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bids</w:t>
            </w:r>
          </w:p>
        </w:tc>
        <w:tc>
          <w:tcPr>
            <w:tcW w:type="dxa" w:w="51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investor_id, budget, min_yield, constraints_json, status</w:t>
            </w:r>
          </w:p>
        </w:tc>
        <w:tc>
          <w:tcPr>
            <w:tcW w:type="dxa" w:w="26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budget &gt; 0; normalized before solve</w:t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allocations</w:t>
            </w:r>
          </w:p>
        </w:tc>
        <w:tc>
          <w:tcPr>
            <w:tcW w:type="dxa" w:w="51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auction_id, bid_id, notional, price, rank</w:t>
            </w:r>
          </w:p>
        </w:tc>
        <w:tc>
          <w:tcPr>
            <w:tcW w:type="dxa" w:w="26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sum allocation ≤ supply and budget</w:t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settlements</w:t>
            </w:r>
          </w:p>
        </w:tc>
        <w:tc>
          <w:tcPr>
            <w:tcW w:type="dxa" w:w="51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allocation_id, tx_id, state, attempts</w:t>
            </w:r>
          </w:p>
        </w:tc>
        <w:tc>
          <w:tcPr>
            <w:tcW w:type="dxa" w:w="26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business effect idempotent</w:t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x402_requests</w:t>
            </w:r>
          </w:p>
        </w:tc>
        <w:tc>
          <w:tcPr>
            <w:tcW w:type="dxa" w:w="51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request_hash, payer, nonce, payment_tx, response_hash</w:t>
            </w:r>
          </w:p>
        </w:tc>
        <w:tc>
          <w:tcPr>
            <w:tcW w:type="dxa" w:w="26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nonce/payment unique</w:t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audit_events</w:t>
            </w:r>
          </w:p>
        </w:tc>
        <w:tc>
          <w:tcPr>
            <w:tcW w:type="dxa" w:w="51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actor, action, entity, before_hash, after_hash, trace_id</w:t>
            </w:r>
          </w:p>
        </w:tc>
        <w:tc>
          <w:tcPr>
            <w:tcW w:type="dxa" w:w="26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append-only</w:t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outbox_events</w:t>
            </w:r>
          </w:p>
        </w:tc>
        <w:tc>
          <w:tcPr>
            <w:tcW w:type="dxa" w:w="51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topic, payload, attempts, next_at, delivered_at</w:t>
            </w:r>
          </w:p>
        </w:tc>
        <w:tc>
          <w:tcPr>
            <w:tcW w:type="dxa" w:w="26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inserted with domain transaction</w:t>
            </w:r>
          </w:p>
        </w:tc>
      </w:tr>
    </w:tbl>
    <w:p>
      <w:pPr>
        <w:spacing w:after="20"/>
      </w:pPr>
    </w:p>
    <w:p>
      <w:pPr>
        <w:pStyle w:val="Heading2"/>
      </w:pPr>
      <w:r>
        <w:t>7.2. API conventions</w:t>
      </w:r>
    </w:p>
    <w:p>
      <w:pPr>
        <w:pStyle w:val="ListBullet"/>
      </w:pPr>
      <w:r>
        <w:t>Base path /api/v1; JSON UTF-8; OpenAPI 3.1 generated/validated in CI.</w:t>
      </w:r>
    </w:p>
    <w:p>
      <w:pPr>
        <w:pStyle w:val="ListBullet"/>
      </w:pPr>
      <w:r>
        <w:t>Money: string decimal at boundary, integer minor units internally where currency permits; APR/PD/LGD as decimal strings.</w:t>
      </w:r>
    </w:p>
    <w:p>
      <w:pPr>
        <w:pStyle w:val="ListBullet"/>
      </w:pPr>
      <w:r>
        <w:t>Write endpoints require Idempotency-Key and If-Match/version for mutable aggregates.</w:t>
      </w:r>
    </w:p>
    <w:p>
      <w:pPr>
        <w:pStyle w:val="ListBullet"/>
      </w:pPr>
      <w:r>
        <w:t>Errors follow RFC 9457 Problem Details with code, trace_id, safe detail and field violations.</w:t>
      </w:r>
    </w:p>
    <w:p>
      <w:pPr>
        <w:pStyle w:val="ListBullet"/>
      </w:pPr>
      <w:r>
        <w:t>Cursor pagination; explicit sort; UTC ISO-8601 timestamps; UUID identifiers.</w:t>
      </w:r>
    </w:p>
    <w:p>
      <w:pPr>
        <w:pStyle w:val="ListBullet"/>
      </w:pPr>
      <w:r>
        <w:t>Wallet authentication: server nonce → signed typed message → short-lived HttpOnly session; CSRF protection for cookie flows.</w:t>
      </w:r>
    </w:p>
    <w:p>
      <w:pPr>
        <w:pStyle w:val="Heading2"/>
      </w:pPr>
      <w:r>
        <w:t>7.3. Endpoint catalogue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/>
            </w:pPr>
            <w:r>
              <w:rPr>
                <w:b/>
                <w:color w:val="17365D"/>
                <w:sz w:val="15"/>
              </w:rPr>
              <w:t>Method / path</w:t>
            </w:r>
          </w:p>
        </w:tc>
        <w:tc>
          <w:tcPr>
            <w:tcW w:type="dxa" w:w="4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/>
            </w:pPr>
            <w:r>
              <w:rPr>
                <w:b/>
                <w:color w:val="17365D"/>
                <w:sz w:val="15"/>
              </w:rPr>
              <w:t>Назначение</w:t>
            </w:r>
          </w:p>
        </w:tc>
        <w:tc>
          <w:tcPr>
            <w:tcW w:type="dxa" w:w="2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/>
            </w:pPr>
            <w:r>
              <w:rPr>
                <w:b/>
                <w:color w:val="17365D"/>
                <w:sz w:val="15"/>
              </w:rPr>
              <w:t>Auth / effect</w:t>
            </w:r>
          </w:p>
        </w:tc>
      </w:tr>
      <w:tr>
        <w:trPr>
          <w:cantSplit/>
        </w:trP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GET /healthz; GET /readyz</w:t>
            </w:r>
          </w:p>
        </w:tc>
        <w:tc>
          <w:tcPr>
            <w:tcW w:type="dxa" w:w="4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Liveness / dependency readiness</w:t>
            </w:r>
          </w:p>
        </w:tc>
        <w:tc>
          <w:tcPr>
            <w:tcW w:type="dxa" w:w="2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Public; read-only</w:t>
            </w:r>
          </w:p>
        </w:tc>
      </w:tr>
      <w:tr>
        <w:trPr>
          <w:cantSplit/>
        </w:trP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POST /auth/challenge; /auth/verify</w:t>
            </w:r>
          </w:p>
        </w:tc>
        <w:tc>
          <w:tcPr>
            <w:tcW w:type="dxa" w:w="4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Wallet login</w:t>
            </w:r>
          </w:p>
        </w:tc>
        <w:tc>
          <w:tcPr>
            <w:tcW w:type="dxa" w:w="2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Public → session</w:t>
            </w:r>
          </w:p>
        </w:tc>
      </w:tr>
      <w:tr>
        <w:trPr>
          <w:cantSplit/>
        </w:trP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POST /organizations</w:t>
            </w:r>
          </w:p>
        </w:tc>
        <w:tc>
          <w:tcPr>
            <w:tcW w:type="dxa" w:w="4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Create demo organization</w:t>
            </w:r>
          </w:p>
        </w:tc>
        <w:tc>
          <w:tcPr>
            <w:tcW w:type="dxa" w:w="2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Wallet; DB write</w:t>
            </w:r>
          </w:p>
        </w:tc>
      </w:tr>
      <w:tr>
        <w:trPr>
          <w:cantSplit/>
        </w:trP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POST /invoices</w:t>
            </w:r>
          </w:p>
        </w:tc>
        <w:tc>
          <w:tcPr>
            <w:tcW w:type="dxa" w:w="4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Create draft</w:t>
            </w:r>
          </w:p>
        </w:tc>
        <w:tc>
          <w:tcPr>
            <w:tcW w:type="dxa" w:w="2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Issuer; DB write</w:t>
            </w:r>
          </w:p>
        </w:tc>
      </w:tr>
      <w:tr>
        <w:trPr>
          <w:cantSplit/>
        </w:trP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POST /invoices/{id}/upload-url</w:t>
            </w:r>
          </w:p>
        </w:tc>
        <w:tc>
          <w:tcPr>
            <w:tcW w:type="dxa" w:w="4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Encrypted upload URL</w:t>
            </w:r>
          </w:p>
        </w:tc>
        <w:tc>
          <w:tcPr>
            <w:tcW w:type="dxa" w:w="2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Issuer; object metadata</w:t>
            </w:r>
          </w:p>
        </w:tc>
      </w:tr>
      <w:tr>
        <w:trPr>
          <w:cantSplit/>
        </w:trP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POST /invoices/{id}/assess</w:t>
            </w:r>
          </w:p>
        </w:tc>
        <w:tc>
          <w:tcPr>
            <w:tcW w:type="dxa" w:w="4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Start confidential assessment</w:t>
            </w:r>
          </w:p>
        </w:tc>
        <w:tc>
          <w:tcPr>
            <w:tcW w:type="dxa" w:w="2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Issuer; outbox command</w:t>
            </w:r>
          </w:p>
        </w:tc>
      </w:tr>
      <w:tr>
        <w:trPr>
          <w:cantSplit/>
        </w:trP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POST /invoices/{id}/approve</w:t>
            </w:r>
          </w:p>
        </w:tc>
        <w:tc>
          <w:tcPr>
            <w:tcW w:type="dxa" w:w="4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Approve structured facts</w:t>
            </w:r>
          </w:p>
        </w:tc>
        <w:tc>
          <w:tcPr>
            <w:tcW w:type="dxa" w:w="2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Issuer; state transition</w:t>
            </w:r>
          </w:p>
        </w:tc>
      </w:tr>
      <w:tr>
        <w:trPr>
          <w:cantSplit/>
        </w:trP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POST /invoices/{id}/tokenize</w:t>
            </w:r>
          </w:p>
        </w:tc>
        <w:tc>
          <w:tcPr>
            <w:tcW w:type="dxa" w:w="4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Prepare/observe ATS issuance</w:t>
            </w:r>
          </w:p>
        </w:tc>
        <w:tc>
          <w:tcPr>
            <w:tcW w:type="dxa" w:w="2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Issuer; wallet/on-chain</w:t>
            </w:r>
          </w:p>
        </w:tc>
      </w:tr>
      <w:tr>
        <w:trPr>
          <w:cantSplit/>
        </w:trP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GET /market/benchmarks/latest</w:t>
            </w:r>
          </w:p>
        </w:tc>
        <w:tc>
          <w:tcPr>
            <w:tcW w:type="dxa" w:w="4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Current Graph snapshot</w:t>
            </w:r>
          </w:p>
        </w:tc>
        <w:tc>
          <w:tcPr>
            <w:tcW w:type="dxa" w:w="2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Authenticated; read-only</w:t>
            </w:r>
          </w:p>
        </w:tc>
      </w:tr>
      <w:tr>
        <w:trPr>
          <w:cantSplit/>
        </w:trP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POST /auctions; /{id}/open</w:t>
            </w:r>
          </w:p>
        </w:tc>
        <w:tc>
          <w:tcPr>
            <w:tcW w:type="dxa" w:w="4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Create/open auction</w:t>
            </w:r>
          </w:p>
        </w:tc>
        <w:tc>
          <w:tcPr>
            <w:tcW w:type="dxa" w:w="2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Issuer; DB write</w:t>
            </w:r>
          </w:p>
        </w:tc>
      </w:tr>
      <w:tr>
        <w:trPr>
          <w:cantSplit/>
        </w:trP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POST /auctions/{id}/bids</w:t>
            </w:r>
          </w:p>
        </w:tc>
        <w:tc>
          <w:tcPr>
            <w:tcW w:type="dxa" w:w="4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Place constrained bid</w:t>
            </w:r>
          </w:p>
        </w:tc>
        <w:tc>
          <w:tcPr>
            <w:tcW w:type="dxa" w:w="2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Eligible investor</w:t>
            </w:r>
          </w:p>
        </w:tc>
      </w:tr>
      <w:tr>
        <w:trPr>
          <w:cantSplit/>
        </w:trP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POST /auctions/{id}/clear</w:t>
            </w:r>
          </w:p>
        </w:tc>
        <w:tc>
          <w:tcPr>
            <w:tcW w:type="dxa" w:w="4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Run deterministic solver</w:t>
            </w:r>
          </w:p>
        </w:tc>
        <w:tc>
          <w:tcPr>
            <w:tcW w:type="dxa" w:w="2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Issuer/operator; command</w:t>
            </w:r>
          </w:p>
        </w:tc>
      </w:tr>
      <w:tr>
        <w:trPr>
          <w:cantSplit/>
        </w:trP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POST /auctions/{id}/settle</w:t>
            </w:r>
          </w:p>
        </w:tc>
        <w:tc>
          <w:tcPr>
            <w:tcW w:type="dxa" w:w="4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Execute transfer plan</w:t>
            </w:r>
          </w:p>
        </w:tc>
        <w:tc>
          <w:tcPr>
            <w:tcW w:type="dxa" w:w="2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Wallet/operator; on-chain saga</w:t>
            </w:r>
          </w:p>
        </w:tc>
      </w:tr>
      <w:tr>
        <w:trPr>
          <w:cantSplit/>
        </w:trP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GET /assets/{id}/audit</w:t>
            </w:r>
          </w:p>
        </w:tc>
        <w:tc>
          <w:tcPr>
            <w:tcW w:type="dxa" w:w="4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Unified off/on-chain timeline</w:t>
            </w:r>
          </w:p>
        </w:tc>
        <w:tc>
          <w:tcPr>
            <w:tcW w:type="dxa" w:w="2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Participant/judge</w:t>
            </w:r>
          </w:p>
        </w:tc>
      </w:tr>
      <w:tr>
        <w:trPr>
          <w:cantSplit/>
        </w:trP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POST /paid/v1/risk-quote</w:t>
            </w:r>
          </w:p>
        </w:tc>
        <w:tc>
          <w:tcPr>
            <w:tcW w:type="dxa" w:w="4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x402-paid machine quote</w:t>
            </w:r>
          </w:p>
        </w:tc>
        <w:tc>
          <w:tcPr>
            <w:tcW w:type="dxa" w:w="2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Payment required</w:t>
            </w:r>
          </w:p>
        </w:tc>
      </w:tr>
      <w:tr>
        <w:trPr>
          <w:cantSplit/>
        </w:trP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POST /paid/v1/auction-recommendation</w:t>
            </w:r>
          </w:p>
        </w:tc>
        <w:tc>
          <w:tcPr>
            <w:tcW w:type="dxa" w:w="4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x402-paid bid recommendation</w:t>
            </w:r>
          </w:p>
        </w:tc>
        <w:tc>
          <w:tcPr>
            <w:tcW w:type="dxa" w:w="2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Payment required</w:t>
            </w:r>
          </w:p>
        </w:tc>
      </w:tr>
      <w:tr>
        <w:trPr>
          <w:cantSplit/>
        </w:trP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POST /admin/reconcile/{asset_id}</w:t>
            </w:r>
          </w:p>
        </w:tc>
        <w:tc>
          <w:tcPr>
            <w:tcW w:type="dxa" w:w="4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Mirror Node reconciliation</w:t>
            </w:r>
          </w:p>
        </w:tc>
        <w:tc>
          <w:tcPr>
            <w:tcW w:type="dxa" w:w="2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Operator; audited</w:t>
            </w:r>
          </w:p>
        </w:tc>
      </w:tr>
    </w:tbl>
    <w:p>
      <w:pPr>
        <w:spacing w:after="20"/>
      </w:pPr>
    </w:p>
    <w:p>
      <w:pPr>
        <w:pStyle w:val="Heading2"/>
      </w:pPr>
      <w:r>
        <w:t>7.4. Пример результата risk assessment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CodeBlock"/>
            </w:pPr>
            <w:r>
              <w:t>{</w:t>
              <w:br/>
              <w:t xml:space="preserve">  "invoice_id": "...", "assessment_version": "risk-v1",</w:t>
              <w:br/>
              <w:t xml:space="preserve">  "pd": "0.0310", "lgd": "0.4500", "expected_loss": "139.50",</w:t>
              <w:br/>
              <w:t xml:space="preserve">  "grade": "B", "benchmark_apr": "0.0640", "discount_apr": "0.1215",</w:t>
              <w:br/>
              <w:t xml:space="preserve">  "reserve_price": "9721.84", "currency": "USD",</w:t>
              <w:br/>
              <w:t xml:space="preserve">  "market_snapshot_hash": "0x...", "confidential_commitment": "0x...",</w:t>
              <w:br/>
              <w:t xml:space="preserve">  "explanation": ["60-day maturity", "low issuer concentration", "market liquidity premium applied"]</w:t>
              <w:br/>
              <w:t>}</w:t>
            </w:r>
          </w:p>
        </w:tc>
      </w:tr>
    </w:tbl>
    <w:p>
      <w:pPr>
        <w:spacing w:after="20"/>
      </w:pPr>
    </w:p>
    <w:p>
      <w:pPr>
        <w:pStyle w:val="Heading1"/>
      </w:pPr>
      <w:r>
        <w:t>8. AI, риск-модель и оптимизатор аукциона</w:t>
      </w:r>
    </w:p>
    <w:p>
      <w:pPr>
        <w:pStyle w:val="Heading2"/>
      </w:pPr>
      <w:r>
        <w:t>8.1. Разделение AI и детерминированной логики</w:t>
      </w:r>
    </w:p>
    <w:p>
      <w:r>
        <w:t>AI отвечает за неструктурированный ввод и понятное объяснение. Финансовое решение принимает versioned deterministic code. Это снижает hallucination risk и делает результат воспроизводимым.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/>
            </w:pPr>
            <w:r>
              <w:rPr>
                <w:b/>
                <w:color w:val="17365D"/>
                <w:sz w:val="16"/>
              </w:rPr>
              <w:t>Этап</w:t>
            </w:r>
          </w:p>
        </w:tc>
        <w:tc>
          <w:tcPr>
            <w:tcW w:type="dxa" w:w="38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/>
            </w:pPr>
            <w:r>
              <w:rPr>
                <w:b/>
                <w:color w:val="17365D"/>
                <w:sz w:val="16"/>
              </w:rPr>
              <w:t>AI разрешено</w:t>
            </w:r>
          </w:p>
        </w:tc>
        <w:tc>
          <w:tcPr>
            <w:tcW w:type="dxa" w:w="38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/>
            </w:pPr>
            <w:r>
              <w:rPr>
                <w:b/>
                <w:color w:val="17365D"/>
                <w:sz w:val="16"/>
              </w:rPr>
              <w:t>AI запрещено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Extraction</w:t>
            </w:r>
          </w:p>
        </w:tc>
        <w:tc>
          <w:tcPr>
            <w:tcW w:type="dxa" w:w="38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Извлечь supplier/debtor refs, даты, суммы, позиции, payment terms; дать confidence</w:t>
            </w:r>
          </w:p>
        </w:tc>
        <w:tc>
          <w:tcPr>
            <w:tcW w:type="dxa" w:w="3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Додумывать отсутствующее значение без missing flag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Feature derivation</w:t>
            </w:r>
          </w:p>
        </w:tc>
        <w:tc>
          <w:tcPr>
            <w:tcW w:type="dxa" w:w="38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Классифицировать dispute clause, обнаружить semantic mismatch</w:t>
            </w:r>
          </w:p>
        </w:tc>
        <w:tc>
          <w:tcPr>
            <w:tcW w:type="dxa" w:w="3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Менять исходную сумму или дату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Scoring</w:t>
            </w:r>
          </w:p>
        </w:tc>
        <w:tc>
          <w:tcPr>
            <w:tcW w:type="dxa" w:w="38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Сформулировать объяснение по готовым contributions</w:t>
            </w:r>
          </w:p>
        </w:tc>
        <w:tc>
          <w:tcPr>
            <w:tcW w:type="dxa" w:w="3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Назначать PD/grade/reserve price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Investor assistant</w:t>
            </w:r>
          </w:p>
        </w:tc>
        <w:tc>
          <w:tcPr>
            <w:tcW w:type="dxa" w:w="38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Суммировать live market data и ограничения</w:t>
            </w:r>
          </w:p>
        </w:tc>
        <w:tc>
          <w:tcPr>
            <w:tcW w:type="dxa" w:w="3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Обходить eligibility или лимиты портфеля</w:t>
            </w:r>
          </w:p>
        </w:tc>
      </w:tr>
    </w:tbl>
    <w:p>
      <w:pPr>
        <w:spacing w:after="20"/>
      </w:pPr>
    </w:p>
    <w:p>
      <w:pPr>
        <w:pStyle w:val="Heading2"/>
      </w:pPr>
      <w:r>
        <w:t>8.2. Confidential workflow</w:t>
      </w:r>
    </w:p>
    <w:p>
      <w:pPr>
        <w:pStyle w:val="ListNumber"/>
        <w:numPr>
          <w:ilvl w:val="0"/>
          <w:numId w:val="11"/>
        </w:numPr>
      </w:pPr>
      <w:r>
        <w:t>Input: encrypted object URL, short-lived data key/secret, cipher hash, schema version, request nonce.</w:t>
      </w:r>
    </w:p>
    <w:p>
      <w:pPr>
        <w:pStyle w:val="ListNumber"/>
        <w:numPr>
          <w:ilvl w:val="0"/>
          <w:numId w:val="11"/>
        </w:numPr>
      </w:pPr>
      <w:r>
        <w:t>Go cre.HandlerInTee verifies hash, downloads ciphertext and decrypts only inside TEE memory.</w:t>
      </w:r>
    </w:p>
    <w:p>
      <w:pPr>
        <w:pStyle w:val="ListNumber"/>
        <w:numPr>
          <w:ilvl w:val="0"/>
          <w:numId w:val="11"/>
        </w:numPr>
      </w:pPr>
      <w:r>
        <w:t>Parser extracts text/fields; LLM call receives minimum necessary content and a strict JSON Schema.</w:t>
      </w:r>
    </w:p>
    <w:p>
      <w:pPr>
        <w:pStyle w:val="ListNumber"/>
        <w:numPr>
          <w:ilvl w:val="0"/>
          <w:numId w:val="11"/>
        </w:numPr>
      </w:pPr>
      <w:r>
        <w:t>Deterministic validators check totals, currency, dates, duplicate invoice number and allowed ranges.</w:t>
      </w:r>
    </w:p>
    <w:p>
      <w:pPr>
        <w:pStyle w:val="ListNumber"/>
        <w:numPr>
          <w:ilvl w:val="0"/>
          <w:numId w:val="11"/>
        </w:numPr>
      </w:pPr>
      <w:r>
        <w:t>Workflow derives only whitelisted features and deletes buffers after use where runtime permits.</w:t>
      </w:r>
    </w:p>
    <w:p>
      <w:pPr>
        <w:pStyle w:val="ListNumber"/>
        <w:numPr>
          <w:ilvl w:val="0"/>
          <w:numId w:val="11"/>
        </w:numPr>
      </w:pPr>
      <w:r>
        <w:t>Output: normalized fields, feature vector, confidence, validation flags, model/prompt version and commitment; no raw text/PDF.</w:t>
      </w:r>
    </w:p>
    <w:p>
      <w:pPr>
        <w:pStyle w:val="ListNumber"/>
        <w:numPr>
          <w:ilvl w:val="0"/>
          <w:numId w:val="11"/>
        </w:numPr>
      </w:pPr>
      <w:r>
        <w:t>Backend verifies signature/attestation evidence available in environment, nonce and schema; saves immutable assessment input.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CE8E6"/>
            <w:vAlign w:val="center"/>
          </w:tcPr>
          <w:p>
            <w:pPr>
              <w:spacing w:after="40"/>
            </w:pPr>
            <w:r>
              <w:rPr>
                <w:b/>
                <w:color w:val="17365D"/>
              </w:rPr>
              <w:t>Privacy rule</w:t>
            </w:r>
          </w:p>
          <w:p>
            <w:pPr>
              <w:spacing w:after="0"/>
            </w:pPr>
            <w:r>
              <w:t>Логи, traces и error messages никогда не содержат decrypted text, signed URLs, encryption keys, full invoice numbers or raw LLM prompts with document content.</w:t>
            </w:r>
          </w:p>
        </w:tc>
      </w:tr>
    </w:tbl>
    <w:p>
      <w:pPr>
        <w:spacing w:after="20"/>
      </w:pPr>
    </w:p>
    <w:p>
      <w:pPr>
        <w:pStyle w:val="Heading2"/>
      </w:pPr>
      <w:r>
        <w:t>8.3. Risk model v1</w:t>
      </w:r>
    </w:p>
    <w:p>
      <w:r>
        <w:t>В demo признаки нормализуются в [0,1]. Коэффициенты публикуются вместе с model_version; они калибруются на синтетическом наборе и не выдаются за production credit model.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CodeBlock"/>
            </w:pPr>
            <w:r>
              <w:t>z = β₀ + β₁·DSO_norm + β₂·late_payment_rate + β₃·dispute_flag</w:t>
              <w:br/>
              <w:t xml:space="preserve">      + β₄·debtor_concentration + β₅·market_volatility + β₆·debtor_risk</w:t>
              <w:br/>
              <w:t>PD = 1 / (1 + exp(-z))</w:t>
              <w:br/>
              <w:t>EAD = face_value</w:t>
              <w:br/>
              <w:t>EL = PD × LGD × EAD</w:t>
              <w:br/>
              <w:t>discount_rate = benchmark + risk_premium(PD, LGD) + liquidity_premium + concentration_premium</w:t>
              <w:br/>
              <w:t>reserve_price = face_value / (1 + discount_rate × days_to_due / 365) − platform_fee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/>
            </w:pPr>
            <w:r>
              <w:rPr>
                <w:b/>
                <w:color w:val="17365D"/>
                <w:sz w:val="17"/>
              </w:rPr>
              <w:t>Показатель</w:t>
            </w:r>
          </w:p>
        </w:tc>
        <w:tc>
          <w:tcPr>
            <w:tcW w:type="dxa" w:w="6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/>
            </w:pPr>
            <w:r>
              <w:rPr>
                <w:b/>
                <w:color w:val="17365D"/>
                <w:sz w:val="17"/>
              </w:rPr>
              <w:t>Правило MVP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PD</w:t>
            </w:r>
          </w:p>
        </w:tc>
        <w:tc>
          <w:tcPr>
            <w:tcW w:type="dxa" w:w="6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Clamped to [0.001, 0.80]; sigmoid with published coefficients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LGD</w:t>
            </w:r>
          </w:p>
        </w:tc>
        <w:tc>
          <w:tcPr>
            <w:tcW w:type="dxa" w:w="6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Base 0.45; adjusted by recourse/collateral flags; clamped [0.10, 0.90]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Grade</w:t>
            </w:r>
          </w:p>
        </w:tc>
        <w:tc>
          <w:tcPr>
            <w:tcW w:type="dxa" w:w="6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A &lt;2%; B 2–5%; C 5–10%; D 10–20%; E &gt;20% PD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Benchmark</w:t>
            </w:r>
          </w:p>
        </w:tc>
        <w:tc>
          <w:tcPr>
            <w:tcW w:type="dxa" w:w="6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Weighted live APR/yield measure from selected standardized Graph data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Liquidity premium</w:t>
            </w:r>
          </w:p>
        </w:tc>
        <w:tc>
          <w:tcPr>
            <w:tcW w:type="dxa" w:w="6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Function of protocol liquidity/volume proxy and invoice tenor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Confidence gate</w:t>
            </w:r>
          </w:p>
        </w:tc>
        <w:tc>
          <w:tcPr>
            <w:tcW w:type="dxa" w:w="6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If required extraction confidence &lt;0.85 or arithmetic invalid, no auto-approval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Rounding</w:t>
            </w:r>
          </w:p>
        </w:tc>
        <w:tc>
          <w:tcPr>
            <w:tcW w:type="dxa" w:w="6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Banker’s rounding at display; exact decimal arithmetic for decisions</w:t>
            </w:r>
          </w:p>
        </w:tc>
      </w:tr>
    </w:tbl>
    <w:p>
      <w:pPr>
        <w:spacing w:after="20"/>
      </w:pPr>
    </w:p>
    <w:p>
      <w:pPr>
        <w:pStyle w:val="Heading2"/>
      </w:pPr>
      <w:r>
        <w:t>8.4. Использование The Graph</w:t>
      </w:r>
    </w:p>
    <w:p>
      <w:r>
        <w:t>MarketData adapter выполняет live GraphQL queries к стандартизованным lending/yield schemas. Нормализатор рассчитывает benchmark из валидных рынков одной сети/схемы, исключает нулевую ликвидность и winsorizes экстремумы. Snapshot содержит query hash, source subgraph IDs, block numbers, observed_at и payload hash. PricingService отказывается рассчитывать цену без свежего snapshot.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CodeBlock"/>
            </w:pPr>
            <w:r>
              <w:t>benchmark = weighted_median(net_supply_apy, weight = sqrt(available_liquidity))</w:t>
              <w:br/>
              <w:t>liquidity_premium = clamp(k / sqrt(total_eligible_liquidity), p_min, p_max)</w:t>
              <w:br/>
              <w:t>snapshot_ttl = 15 minutes (demo); stale data =&gt; fail closed</w:t>
            </w:r>
          </w:p>
        </w:tc>
      </w:tr>
    </w:tbl>
    <w:p>
      <w:pPr>
        <w:spacing w:after="20"/>
      </w:pPr>
    </w:p>
    <w:p>
      <w:r>
        <w:t>Subgraph MCP используется только для AI-объяснения рыночного контекста. Сам benchmark считается Go-кодом из зафиксированного GraphQL response; поэтому текстовая модель не может незаметно изменить цену.</w:t>
      </w:r>
    </w:p>
    <w:p>
      <w:pPr>
        <w:pStyle w:val="Heading2"/>
      </w:pPr>
      <w:r>
        <w:t>8.5. Модель аукциона</w:t>
      </w:r>
    </w:p>
    <w:p>
      <w:r>
        <w:t>После закрытия приём заявок прекращается. Решение строится как двудольный граф invoice lots ↔ investor bids. Ребро существует только при выполнении eligibility, grade, yield, maturity и concentration preconditions.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CodeBlock"/>
            </w:pPr>
            <w:r>
              <w:t>Decision variable: xᵢⱼ ≥ 0 — notional of invoice i allocated to bid j</w:t>
              <w:br/>
              <w:t>Maximize: Σᵢⱼ xᵢⱼ·(economic_surplusᵢⱼ + funding_weight)</w:t>
              <w:br/>
              <w:t xml:space="preserve">          − λ₁·concentration_penalty − λ₂·risk_penalty</w:t>
              <w:br/>
              <w:t>Subject to:</w:t>
              <w:br/>
              <w:t xml:space="preserve">  Σⱼ xᵢⱼ ≤ available_supplyᵢ</w:t>
              <w:br/>
              <w:t xml:space="preserve">  Σᵢ priceᵢ·xᵢⱼ ≤ budgetⱼ</w:t>
              <w:br/>
              <w:t xml:space="preserve">  xᵢⱼ = 0 if eligibility/price/yield/grade/maturity constraint fails</w:t>
              <w:br/>
              <w:t xml:space="preserve">  exposure(issuer, debtor, grade) ≤ investor limits</w:t>
              <w:br/>
              <w:t xml:space="preserve">  xᵢⱼ = 0 or xᵢⱼ ≥ minimum_lot</w:t>
            </w:r>
          </w:p>
        </w:tc>
      </w:tr>
    </w:tbl>
    <w:p>
      <w:pPr>
        <w:spacing w:after="20"/>
      </w:pPr>
    </w:p>
    <w:p>
      <w:pPr>
        <w:pStyle w:val="Heading2"/>
      </w:pPr>
      <w:r>
        <w:t>8.6. Алгоритм клиринга</w:t>
      </w:r>
    </w:p>
    <w:p>
      <w:pPr>
        <w:pStyle w:val="ListNumber"/>
        <w:numPr>
          <w:ilvl w:val="0"/>
          <w:numId w:val="12"/>
        </w:numPr>
      </w:pPr>
      <w:r>
        <w:t>Canonicalize inputs: sort UUIDs, convert money/rates to integer scaled units, reject NaN/overflow and expired bids.</w:t>
      </w:r>
    </w:p>
    <w:p>
      <w:pPr>
        <w:pStyle w:val="ListNumber"/>
        <w:numPr>
          <w:ilvl w:val="0"/>
          <w:numId w:val="12"/>
        </w:numPr>
      </w:pPr>
      <w:r>
        <w:t>Build feasible edges and calculate integer cost from surplus, funding and penalty terms.</w:t>
      </w:r>
    </w:p>
    <w:p>
      <w:pPr>
        <w:pStyle w:val="ListNumber"/>
        <w:numPr>
          <w:ilvl w:val="0"/>
          <w:numId w:val="12"/>
        </w:numPr>
      </w:pPr>
      <w:r>
        <w:t>For divisible lots run successive shortest augmenting path min-cost max-flow with node potentials; capacities encode supply and budget.</w:t>
      </w:r>
    </w:p>
    <w:p>
      <w:pPr>
        <w:pStyle w:val="ListNumber"/>
        <w:numPr>
          <w:ilvl w:val="0"/>
          <w:numId w:val="12"/>
        </w:numPr>
      </w:pPr>
      <w:r>
        <w:t>For discrete minimum lots run a bounded branch-and-bound over affected edges; use relaxed flow as upper bound and stop at deterministic node/time limit.</w:t>
      </w:r>
    </w:p>
    <w:p>
      <w:pPr>
        <w:pStyle w:val="ListNumber"/>
        <w:numPr>
          <w:ilvl w:val="0"/>
          <w:numId w:val="12"/>
        </w:numPr>
      </w:pPr>
      <w:r>
        <w:t>Apply concentration repair: identify violated aggregate limit, remove lowest marginal-value allocation, and reoptimize residual capacities.</w:t>
      </w:r>
    </w:p>
    <w:p>
      <w:pPr>
        <w:pStyle w:val="ListNumber"/>
        <w:numPr>
          <w:ilvl w:val="0"/>
          <w:numId w:val="12"/>
        </w:numPr>
      </w:pPr>
      <w:r>
        <w:t>Resolve equal objectives by lexicographic tuple (bid_created_at, bid_id, invoice_id); no random tie-breaking.</w:t>
      </w:r>
    </w:p>
    <w:p>
      <w:pPr>
        <w:pStyle w:val="ListNumber"/>
        <w:numPr>
          <w:ilvl w:val="0"/>
          <w:numId w:val="12"/>
        </w:numPr>
      </w:pPr>
      <w:r>
        <w:t>Verify all constraints in an independent verifier. If any invariant fails, discard solution and mark CLEARING_FAILED.</w:t>
      </w:r>
    </w:p>
    <w:p>
      <w:pPr>
        <w:pStyle w:val="ListNumber"/>
        <w:numPr>
          <w:ilvl w:val="0"/>
          <w:numId w:val="12"/>
        </w:numPr>
      </w:pPr>
      <w:r>
        <w:t>Serialize inputs, solver version, objective, allocations and verifier result; hash as allocation certificate.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/>
            </w:pPr>
            <w:r>
              <w:rPr>
                <w:b/>
                <w:color w:val="17365D"/>
                <w:sz w:val="17"/>
              </w:rPr>
              <w:t>Свойство</w:t>
            </w:r>
          </w:p>
        </w:tc>
        <w:tc>
          <w:tcPr>
            <w:tcW w:type="dxa" w:w="7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/>
            </w:pPr>
            <w:r>
              <w:rPr>
                <w:b/>
                <w:color w:val="17365D"/>
                <w:sz w:val="17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Детерминизм</w:t>
            </w:r>
          </w:p>
        </w:tc>
        <w:tc>
          <w:tcPr>
            <w:tcW w:type="dxa" w:w="7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Одинаковые canonical inputs и solver_version дают одинаковый certificate hash</w:t>
            </w:r>
          </w:p>
        </w:tc>
      </w:tr>
      <w:tr>
        <w:trPr>
          <w:cantSplit/>
        </w:trPr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Сложность demo</w:t>
            </w:r>
          </w:p>
        </w:tc>
        <w:tc>
          <w:tcPr>
            <w:tcW w:type="dxa" w:w="7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Flow phase polynomial; branch-and-bound ограничен 200 ms / 5 000 nodes</w:t>
            </w:r>
          </w:p>
        </w:tc>
      </w:tr>
      <w:tr>
        <w:trPr>
          <w:cantSplit/>
        </w:trPr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Fairness</w:t>
            </w:r>
          </w:p>
        </w:tc>
        <w:tc>
          <w:tcPr>
            <w:tcW w:type="dxa" w:w="7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Никаких скрытых wallet/identity preferences; публичный tie-break</w:t>
            </w:r>
          </w:p>
        </w:tc>
      </w:tr>
      <w:tr>
        <w:trPr>
          <w:cantSplit/>
        </w:trPr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Explainability</w:t>
            </w:r>
          </w:p>
        </w:tc>
        <w:tc>
          <w:tcPr>
            <w:tcW w:type="dxa" w:w="7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Для каждой rejected bid сохраняется первая binding constraint</w:t>
            </w:r>
          </w:p>
        </w:tc>
      </w:tr>
      <w:tr>
        <w:trPr>
          <w:cantSplit/>
        </w:trPr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Safety</w:t>
            </w:r>
          </w:p>
        </w:tc>
        <w:tc>
          <w:tcPr>
            <w:tcW w:type="dxa" w:w="7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Independent verifier повторно считает budgets, supply, eligibility and concentration</w:t>
            </w:r>
          </w:p>
        </w:tc>
      </w:tr>
    </w:tbl>
    <w:p>
      <w:pPr>
        <w:spacing w:after="20"/>
      </w:pPr>
    </w:p>
    <w:p>
      <w:pPr>
        <w:pStyle w:val="Heading1"/>
      </w:pPr>
      <w:r>
        <w:t>9. On-chain, конфиденциальность и расчёты</w:t>
      </w:r>
    </w:p>
    <w:p>
      <w:pPr>
        <w:pStyle w:val="Heading2"/>
      </w:pPr>
      <w:r>
        <w:t>9.1. Токенизация через Hedera ATS</w:t>
      </w:r>
    </w:p>
    <w:p>
      <w:r>
        <w:t>Один одобренный invoice соответствует одному tokenized asset/partition или серии с фиксированным supply, равным профинансируемому notional в минимальных единицах. ATS отвечает за выпуск, роли, eligibility/identity registry, transfer restrictions, freeze/pause и lifecycle operations. Выбор ERC-3643 или ERC-1400 фиксируется после smoke-test; предпочтение — вариант с наиболее полной поддержкой нужных compliance и secondary-market операций в актуальной ATS release.</w:t>
      </w:r>
    </w:p>
    <w:p>
      <w:pPr>
        <w:pStyle w:val="ListNumber"/>
        <w:numPr>
          <w:ilvl w:val="0"/>
          <w:numId w:val="13"/>
        </w:numPr>
      </w:pPr>
      <w:r>
        <w:t>Deploy or reuse approved ATS factory on Hedera Testnet; record addresses and commit/version.</w:t>
      </w:r>
    </w:p>
    <w:p>
      <w:pPr>
        <w:pStyle w:val="ListNumber"/>
        <w:numPr>
          <w:ilvl w:val="0"/>
          <w:numId w:val="13"/>
        </w:numPr>
      </w:pPr>
      <w:r>
        <w:t>Create asset metadata: invoice commitment, currency, face value, maturity, grade, terms URI hash.</w:t>
      </w:r>
    </w:p>
    <w:p>
      <w:pPr>
        <w:pStyle w:val="ListNumber"/>
        <w:numPr>
          <w:ilvl w:val="0"/>
          <w:numId w:val="13"/>
        </w:numPr>
      </w:pPr>
      <w:r>
        <w:t>Grant issuer/platform demo roles with least privilege; register eligible demo investors.</w:t>
      </w:r>
    </w:p>
    <w:p>
      <w:pPr>
        <w:pStyle w:val="ListNumber"/>
        <w:numPr>
          <w:ilvl w:val="0"/>
          <w:numId w:val="13"/>
        </w:numPr>
      </w:pPr>
      <w:r>
        <w:t>Issue total supply to issuer/escrow address; observe final receipt before TOKENIZED.</w:t>
      </w:r>
    </w:p>
    <w:p>
      <w:pPr>
        <w:pStyle w:val="ListNumber"/>
        <w:numPr>
          <w:ilvl w:val="0"/>
          <w:numId w:val="13"/>
        </w:numPr>
      </w:pPr>
      <w:r>
        <w:t>After auction, execute restricted transfers according to settlement plan; failures remain reconcilable.</w:t>
      </w:r>
    </w:p>
    <w:p>
      <w:pPr>
        <w:pStyle w:val="ListNumber"/>
        <w:numPr>
          <w:ilvl w:val="0"/>
          <w:numId w:val="13"/>
        </w:numPr>
      </w:pPr>
      <w:r>
        <w:t>On repayment, distribute demo proceeds/accounting state and redeem/burn or mark matured according to supported lifecycle.</w:t>
      </w:r>
    </w:p>
    <w:p>
      <w:pPr>
        <w:pStyle w:val="Heading2"/>
      </w:pPr>
      <w:r>
        <w:t>9.2. Settlement saga</w:t>
      </w:r>
    </w:p>
    <w:p>
      <w:r>
        <w:t>PostgreSQL и Hedera не образуют общую ACID transaction. Поэтому settlement реализуется как saga с durable steps: PREPARED → SUBMITTED → CONSENSUS_CONFIRMED → MIRROR_CONFIRMED → ACCOUNTED. Каждый step имеет deterministic operation_id, tx_id, attempts и safe error. Компенсация не маскирует необратимую on-chain операцию: система пересчитывает локальное состояние по chain truth.</w:t>
      </w:r>
    </w:p>
    <w:p>
      <w:pPr>
        <w:pStyle w:val="Heading2"/>
      </w:pPr>
      <w:r>
        <w:t>9.3. x402 / Blocky402 flow</w:t>
      </w:r>
    </w:p>
    <w:p>
      <w:pPr>
        <w:pStyle w:val="ListNumber"/>
        <w:numPr>
          <w:ilvl w:val="0"/>
          <w:numId w:val="14"/>
        </w:numPr>
      </w:pPr>
      <w:r>
        <w:t>Agent sends POST to paid endpoint with request body and unique request_id.</w:t>
      </w:r>
    </w:p>
    <w:p>
      <w:pPr>
        <w:pStyle w:val="ListNumber"/>
        <w:numPr>
          <w:ilvl w:val="0"/>
          <w:numId w:val="14"/>
        </w:numPr>
      </w:pPr>
      <w:r>
        <w:t>Server validates shape and returns HTTP 402 with price, network, recipient, asset and payment requirements.</w:t>
      </w:r>
    </w:p>
    <w:p>
      <w:pPr>
        <w:pStyle w:val="ListNumber"/>
        <w:numPr>
          <w:ilvl w:val="0"/>
          <w:numId w:val="14"/>
        </w:numPr>
      </w:pPr>
      <w:r>
        <w:t>Agent signs/submits Hedera testnet payment through Blocky402-compatible flow.</w:t>
      </w:r>
    </w:p>
    <w:p>
      <w:pPr>
        <w:pStyle w:val="ListNumber"/>
        <w:numPr>
          <w:ilvl w:val="0"/>
          <w:numId w:val="14"/>
        </w:numPr>
      </w:pPr>
      <w:r>
        <w:t>Server/facilitator verifies settlement, payer, amount, freshness, request binding and unused nonce.</w:t>
      </w:r>
    </w:p>
    <w:p>
      <w:pPr>
        <w:pStyle w:val="ListNumber"/>
        <w:numPr>
          <w:ilvl w:val="0"/>
          <w:numId w:val="14"/>
        </w:numPr>
      </w:pPr>
      <w:r>
        <w:t>Go service computes the result and stores request_hash → payment_tx → response_hash atomically.</w:t>
      </w:r>
    </w:p>
    <w:p>
      <w:pPr>
        <w:pStyle w:val="ListNumber"/>
        <w:numPr>
          <w:ilvl w:val="0"/>
          <w:numId w:val="14"/>
        </w:numPr>
      </w:pPr>
      <w:r>
        <w:t>Retry with identical idempotency key returns cached result; changed body under same key is rejected.</w:t>
      </w:r>
    </w:p>
    <w:p>
      <w:pPr>
        <w:pStyle w:val="Heading2"/>
      </w:pPr>
      <w:r>
        <w:t>9.4. Документы и ключи</w:t>
      </w:r>
    </w:p>
    <w:p>
      <w:pPr>
        <w:pStyle w:val="ListBullet"/>
      </w:pPr>
      <w:r>
        <w:t>Browser creates AES-256-GCM data key per document and uploads ciphertext; AAD binds invoice_id, org_id and schema version.</w:t>
      </w:r>
    </w:p>
    <w:p>
      <w:pPr>
        <w:pStyle w:val="ListBullet"/>
      </w:pPr>
      <w:r>
        <w:t>MVP key transport uses a confidential secret/input mechanism supported by CRE; backend stores only key reference/envelope, not plaintext key.</w:t>
      </w:r>
    </w:p>
    <w:p>
      <w:pPr>
        <w:pStyle w:val="ListBullet"/>
      </w:pPr>
      <w:r>
        <w:t>Presigned download URL lives ≤5 minutes, is single-purpose and never appears in logs.</w:t>
      </w:r>
    </w:p>
    <w:p>
      <w:pPr>
        <w:pStyle w:val="ListBullet"/>
      </w:pPr>
      <w:r>
        <w:t>Plaintext buffers exist only in browser before upload and in TEE during processing; user can delete local source after submission.</w:t>
      </w:r>
    </w:p>
    <w:p>
      <w:pPr>
        <w:pStyle w:val="ListBullet"/>
      </w:pPr>
      <w:r>
        <w:t>Document retention defaults to 7 days for demo ciphertext; audit/commitments persist without document content.</w:t>
      </w:r>
    </w:p>
    <w:p>
      <w:pPr>
        <w:pStyle w:val="Heading1"/>
      </w:pPr>
      <w:r>
        <w:t>10. Безопасность и нефункциональные требования</w:t>
      </w:r>
    </w:p>
    <w:p>
      <w:pPr>
        <w:pStyle w:val="Heading2"/>
      </w:pPr>
      <w:r>
        <w:t>10.1. Threat model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/>
            </w:pPr>
            <w:r>
              <w:rPr>
                <w:b/>
                <w:color w:val="17365D"/>
                <w:sz w:val="16"/>
              </w:rPr>
              <w:t>Угроза</w:t>
            </w:r>
          </w:p>
        </w:tc>
        <w:tc>
          <w:tcPr>
            <w:tcW w:type="dxa" w:w="6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/>
            </w:pPr>
            <w:r>
              <w:rPr>
                <w:b/>
                <w:color w:val="17365D"/>
                <w:sz w:val="16"/>
              </w:rPr>
              <w:t>Контроль</w:t>
            </w:r>
          </w:p>
        </w:tc>
      </w:tr>
      <w:tr>
        <w:trPr>
          <w:cantSplit/>
        </w:trP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Утечка invoice/PII</w:t>
            </w:r>
          </w:p>
        </w:tc>
        <w:tc>
          <w:tcPr>
            <w:tcW w:type="dxa" w:w="6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Client encryption, TEE processing, data minimization, redacted telemetry, short retention</w:t>
            </w:r>
          </w:p>
        </w:tc>
      </w:tr>
      <w:tr>
        <w:trPr>
          <w:cantSplit/>
        </w:trP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Подмена документа</w:t>
            </w:r>
          </w:p>
        </w:tc>
        <w:tc>
          <w:tcPr>
            <w:tcW w:type="dxa" w:w="6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SHA-256 cipher hash, AAD, immutable commitment, signed workflow output</w:t>
            </w:r>
          </w:p>
        </w:tc>
      </w:tr>
      <w:tr>
        <w:trPr>
          <w:cantSplit/>
        </w:trP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Prompt injection в PDF</w:t>
            </w:r>
          </w:p>
        </w:tc>
        <w:tc>
          <w:tcPr>
            <w:tcW w:type="dxa" w:w="6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Treat document text as data, strict schema, no tool instructions from content, allowlisted outputs</w:t>
            </w:r>
          </w:p>
        </w:tc>
      </w:tr>
      <w:tr>
        <w:trPr>
          <w:cantSplit/>
        </w:trP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Повтор tx/payment</w:t>
            </w:r>
          </w:p>
        </w:tc>
        <w:tc>
          <w:tcPr>
            <w:tcW w:type="dxa" w:w="6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Nonce, request binding, idempotency store, chain receipt verification</w:t>
            </w:r>
          </w:p>
        </w:tc>
      </w:tr>
      <w:tr>
        <w:trPr>
          <w:cantSplit/>
        </w:trP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Двойное финансирование</w:t>
            </w:r>
          </w:p>
        </w:tc>
        <w:tc>
          <w:tcPr>
            <w:tcW w:type="dxa" w:w="6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Demo duplicate fingerprint + unique active invoice constraint; production requires debtor/registry integration</w:t>
            </w:r>
          </w:p>
        </w:tc>
      </w:tr>
      <w:tr>
        <w:trPr>
          <w:cantSplit/>
        </w:trP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Несанкционированный transfer</w:t>
            </w:r>
          </w:p>
        </w:tc>
        <w:tc>
          <w:tcPr>
            <w:tcW w:type="dxa" w:w="6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ATS eligibility/roles, wallet signature, least privilege</w:t>
            </w:r>
          </w:p>
        </w:tc>
      </w:tr>
      <w:tr>
        <w:trPr>
          <w:cantSplit/>
        </w:trP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Манипуляция price snapshot</w:t>
            </w:r>
          </w:p>
        </w:tc>
        <w:tc>
          <w:tcPr>
            <w:tcW w:type="dxa" w:w="6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Live source allowlist, block/time metadata, payload hash, TTL, outlier filter</w:t>
            </w:r>
          </w:p>
        </w:tc>
      </w:tr>
      <w:tr>
        <w:trPr>
          <w:cantSplit/>
        </w:trP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Нечестный клиринг</w:t>
            </w:r>
          </w:p>
        </w:tc>
        <w:tc>
          <w:tcPr>
            <w:tcW w:type="dxa" w:w="6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Canonical deterministic solver, public tie-break, independent verifier, certificate hash</w:t>
            </w:r>
          </w:p>
        </w:tc>
      </w:tr>
      <w:tr>
        <w:trPr>
          <w:cantSplit/>
        </w:trP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Supply-chain dependency</w:t>
            </w:r>
          </w:p>
        </w:tc>
        <w:tc>
          <w:tcPr>
            <w:tcW w:type="dxa" w:w="6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Pinned versions, checksums, Dependabot audit, minimal SDK surface</w:t>
            </w:r>
          </w:p>
        </w:tc>
      </w:tr>
      <w:tr>
        <w:trPr>
          <w:cantSplit/>
        </w:trP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Admin abuse</w:t>
            </w:r>
          </w:p>
        </w:tc>
        <w:tc>
          <w:tcPr>
            <w:tcW w:type="dxa" w:w="6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RBAC, step-up wallet signature for sensitive actions, append-only audit</w:t>
            </w:r>
          </w:p>
        </w:tc>
      </w:tr>
    </w:tbl>
    <w:p>
      <w:pPr>
        <w:spacing w:after="20"/>
      </w:pPr>
    </w:p>
    <w:p>
      <w:pPr>
        <w:pStyle w:val="Heading2"/>
      </w:pPr>
      <w:r>
        <w:t>10.2. Security controls</w:t>
      </w:r>
    </w:p>
    <w:p>
      <w:pPr>
        <w:pStyle w:val="ListBullet"/>
      </w:pPr>
      <w:r>
        <w:t>TLS 1.2+, HSTS, secure cookies, CSP, frame-ancestors none, strict CORS.</w:t>
      </w:r>
    </w:p>
    <w:p>
      <w:pPr>
        <w:pStyle w:val="ListBullet"/>
      </w:pPr>
      <w:r>
        <w:t>Argon2id only if password fallback exists; preferred auth is wallet challenge with nonce and expiration.</w:t>
      </w:r>
    </w:p>
    <w:p>
      <w:pPr>
        <w:pStyle w:val="ListBullet"/>
      </w:pPr>
      <w:r>
        <w:t>Per-wallet and per-IP rate limits; tighter limits for assessment, auction clear and paid endpoints.</w:t>
      </w:r>
    </w:p>
    <w:p>
      <w:pPr>
        <w:pStyle w:val="ListBullet"/>
      </w:pPr>
      <w:r>
        <w:t>RBAC and organization scope enforced in application service and repository query, not only UI.</w:t>
      </w:r>
    </w:p>
    <w:p>
      <w:pPr>
        <w:pStyle w:val="ListBullet"/>
      </w:pPr>
      <w:r>
        <w:t>SQL parameters only; object keys generated server-side; MIME/size/page limits before workflow.</w:t>
      </w:r>
    </w:p>
    <w:p>
      <w:pPr>
        <w:pStyle w:val="ListBullet"/>
      </w:pPr>
      <w:r>
        <w:t>Secrets scanned in CI; production-like config refuses default secrets and debug mode.</w:t>
      </w:r>
    </w:p>
    <w:p>
      <w:pPr>
        <w:pStyle w:val="ListBullet"/>
      </w:pPr>
      <w:r>
        <w:t>No server custody of investor/issuer private keys. Demo operator key, if unavoidable for a contract role, is isolated and low-value testnet-only.</w:t>
      </w:r>
    </w:p>
    <w:p>
      <w:pPr>
        <w:pStyle w:val="Heading2"/>
      </w:pPr>
      <w:r>
        <w:t>10.3. Нефункциональные требования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/>
            </w:pPr>
            <w:r>
              <w:rPr>
                <w:b/>
                <w:color w:val="17365D"/>
                <w:sz w:val="17"/>
              </w:rPr>
              <w:t>Категория</w:t>
            </w:r>
          </w:p>
        </w:tc>
        <w:tc>
          <w:tcPr>
            <w:tcW w:type="dxa" w:w="6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/>
            </w:pPr>
            <w:r>
              <w:rPr>
                <w:b/>
                <w:color w:val="17365D"/>
                <w:sz w:val="17"/>
              </w:rPr>
              <w:t>Требование MVP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Performance</w:t>
            </w:r>
          </w:p>
        </w:tc>
        <w:tc>
          <w:tcPr>
            <w:tcW w:type="dxa" w:w="6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p95 API &lt;500 ms excluding chain/Graph/AI; optimizer &lt;2 s at target dataset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Capacity</w:t>
            </w:r>
          </w:p>
        </w:tc>
        <w:tc>
          <w:tcPr>
            <w:tcW w:type="dxa" w:w="6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50 concurrent UI sessions; 500 invoices; 2 000 bids per batch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Reliability</w:t>
            </w:r>
          </w:p>
        </w:tc>
        <w:tc>
          <w:tcPr>
            <w:tcW w:type="dxa" w:w="6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99.5% prototype target during demo window; graceful degraded read-only mode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Recovery</w:t>
            </w:r>
          </w:p>
        </w:tc>
        <w:tc>
          <w:tcPr>
            <w:tcW w:type="dxa" w:w="6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Nightly encrypted DB backup; RPO 24 h, RTO 2 h for prototype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Observability</w:t>
            </w:r>
          </w:p>
        </w:tc>
        <w:tc>
          <w:tcPr>
            <w:tcW w:type="dxa" w:w="6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Trace ID across API/outbox/CRE/Graph/chain; RED metrics; structured redacted logs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Accessibility</w:t>
            </w:r>
          </w:p>
        </w:tc>
        <w:tc>
          <w:tcPr>
            <w:tcW w:type="dxa" w:w="6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Keyboard navigation, labels, contrast, visible focus; WCAG 2.1 AA-oriented UI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Compatibility</w:t>
            </w:r>
          </w:p>
        </w:tc>
        <w:tc>
          <w:tcPr>
            <w:tcW w:type="dxa" w:w="6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Latest stable Chrome; responsive from 360 px; desktop judge path optimized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Resources</w:t>
            </w:r>
          </w:p>
        </w:tc>
        <w:tc>
          <w:tcPr>
            <w:tcW w:type="dxa" w:w="6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Runs on 2 vCPU / 4 GB RAM VPS with external RPCs/object storage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Reproducibility</w:t>
            </w:r>
          </w:p>
        </w:tc>
        <w:tc>
          <w:tcPr>
            <w:tcW w:type="dxa" w:w="6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One-command local Docker Compose and deterministic seed demo</w:t>
            </w:r>
          </w:p>
        </w:tc>
      </w:tr>
    </w:tbl>
    <w:p>
      <w:pPr>
        <w:spacing w:after="20"/>
      </w:pPr>
    </w:p>
    <w:p>
      <w:pPr>
        <w:pStyle w:val="Heading1"/>
      </w:pPr>
      <w:r>
        <w:t>11. Тестирование, приёмка, развёртывание и демонстрация</w:t>
      </w:r>
    </w:p>
    <w:p>
      <w:pPr>
        <w:pStyle w:val="Heading2"/>
      </w:pPr>
      <w:r>
        <w:t>11.1. Test strategy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/>
            </w:pPr>
            <w:r>
              <w:rPr>
                <w:b/>
                <w:color w:val="17365D"/>
                <w:sz w:val="16"/>
              </w:rPr>
              <w:t>Уровень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/>
            </w:pPr>
            <w:r>
              <w:rPr>
                <w:b/>
                <w:color w:val="17365D"/>
                <w:sz w:val="16"/>
              </w:rPr>
              <w:t>Обязательные проверки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Unit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State transitions, money rounding, PD/LGD boundaries, price formula, Graph normalization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Property / fuzz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Allocation never exceeds supply/budget; no ineligible edge; repeated inputs are deterministic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Integration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Postgres migrations, outbox exactly-once effect, object store encryption metadata, provider adapters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Contract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ATS roles/transfers/lifecycle; settlement helper; x402 verification; revert-paths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CRE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Valid invoice, prompt injection, malformed PDF, wrong hash, timeout, invalid schema, secret redaction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E2E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Playwright full issuer/investor/judge path against testnet-compatible environment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Auth scope, IDOR, replay, log leak, oversized upload, dependency and secret scans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Load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Target auction size and paid endpoint burst; memory remains below VPS budget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Reconciliation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Injected pending/failed receipts converge to Mirror Node truth</w:t>
            </w:r>
          </w:p>
        </w:tc>
      </w:tr>
    </w:tbl>
    <w:p>
      <w:pPr>
        <w:spacing w:after="20"/>
      </w:pPr>
    </w:p>
    <w:p>
      <w:pPr>
        <w:pStyle w:val="Heading2"/>
      </w:pPr>
      <w:r>
        <w:t>11.2. Критерии приёмки MVP</w:t>
      </w:r>
    </w:p>
    <w:p>
      <w:pPr>
        <w:pStyle w:val="ListNumber"/>
        <w:numPr>
          <w:ilvl w:val="0"/>
          <w:numId w:val="15"/>
        </w:numPr>
      </w:pPr>
      <w:r>
        <w:t>Fresh clone starts locally from documented commands; CI is green and license is present.</w:t>
      </w:r>
    </w:p>
    <w:p>
      <w:pPr>
        <w:pStyle w:val="ListNumber"/>
        <w:numPr>
          <w:ilvl w:val="0"/>
          <w:numId w:val="15"/>
        </w:numPr>
      </w:pPr>
      <w:r>
        <w:t>Synthetic invoice is encrypted before upload; no plaintext appears in DB/object storage/logs.</w:t>
      </w:r>
    </w:p>
    <w:p>
      <w:pPr>
        <w:pStyle w:val="ListNumber"/>
        <w:numPr>
          <w:ilvl w:val="0"/>
          <w:numId w:val="15"/>
        </w:numPr>
      </w:pPr>
      <w:r>
        <w:t>CRE Go TEE handler returns validated minimal output with simulation/deployment evidence.</w:t>
      </w:r>
    </w:p>
    <w:p>
      <w:pPr>
        <w:pStyle w:val="ListNumber"/>
        <w:numPr>
          <w:ilvl w:val="0"/>
          <w:numId w:val="15"/>
        </w:numPr>
      </w:pPr>
      <w:r>
        <w:t>The Graph live snapshot is visible, reproducible, within TTL and materially affects reserve price.</w:t>
      </w:r>
    </w:p>
    <w:p>
      <w:pPr>
        <w:pStyle w:val="ListNumber"/>
        <w:numPr>
          <w:ilvl w:val="0"/>
          <w:numId w:val="15"/>
        </w:numPr>
      </w:pPr>
      <w:r>
        <w:t>Risk score, contributions, grade and reserve price are reproducible from saved inputs/model version.</w:t>
      </w:r>
    </w:p>
    <w:p>
      <w:pPr>
        <w:pStyle w:val="ListNumber"/>
        <w:numPr>
          <w:ilvl w:val="0"/>
          <w:numId w:val="15"/>
        </w:numPr>
      </w:pPr>
      <w:r>
        <w:t>ATS testnet asset is issued and at least one lifecycle/secondary-market transfer succeeds under eligibility controls.</w:t>
      </w:r>
    </w:p>
    <w:p>
      <w:pPr>
        <w:pStyle w:val="ListNumber"/>
        <w:numPr>
          <w:ilvl w:val="0"/>
          <w:numId w:val="15"/>
        </w:numPr>
      </w:pPr>
      <w:r>
        <w:t>Two or more investors submit distinct constraints; solver returns a non-trivial feasible allocation and rejected-reason evidence.</w:t>
      </w:r>
    </w:p>
    <w:p>
      <w:pPr>
        <w:pStyle w:val="ListNumber"/>
        <w:numPr>
          <w:ilvl w:val="0"/>
          <w:numId w:val="15"/>
        </w:numPr>
      </w:pPr>
      <w:r>
        <w:t>Independent verifier passes and allocation certificate hash remains stable on rerun.</w:t>
      </w:r>
    </w:p>
    <w:p>
      <w:pPr>
        <w:pStyle w:val="ListNumber"/>
        <w:numPr>
          <w:ilvl w:val="0"/>
          <w:numId w:val="15"/>
        </w:numPr>
      </w:pPr>
      <w:r>
        <w:t>Settlement status is confirmed through Hedera evidence and shown in unified audit timeline.</w:t>
      </w:r>
    </w:p>
    <w:p>
      <w:pPr>
        <w:pStyle w:val="ListNumber"/>
        <w:numPr>
          <w:ilvl w:val="0"/>
          <w:numId w:val="15"/>
        </w:numPr>
      </w:pPr>
      <w:r>
        <w:t>A consumer agent completes HTTP 402 → Hedera payment → paid response using Blocky402.</w:t>
      </w:r>
    </w:p>
    <w:p>
      <w:pPr>
        <w:pStyle w:val="ListNumber"/>
        <w:numPr>
          <w:ilvl w:val="0"/>
          <w:numId w:val="15"/>
        </w:numPr>
      </w:pPr>
      <w:r>
        <w:t>Maturity or default simulation updates asset/application state without violating accounting invariants.</w:t>
      </w:r>
    </w:p>
    <w:p>
      <w:pPr>
        <w:pStyle w:val="ListNumber"/>
        <w:numPr>
          <w:ilvl w:val="0"/>
          <w:numId w:val="15"/>
        </w:numPr>
      </w:pPr>
      <w:r>
        <w:t>README maps each partner requirement to code path, live evidence and demo timestamp.</w:t>
      </w:r>
    </w:p>
    <w:p>
      <w:pPr>
        <w:pStyle w:val="Heading2"/>
      </w:pPr>
      <w:r>
        <w:t>11.3. Demo script (4 минуты)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/>
            </w:pPr>
            <w:r>
              <w:rPr>
                <w:b/>
                <w:color w:val="17365D"/>
                <w:sz w:val="16"/>
              </w:rPr>
              <w:t>Время</w:t>
            </w:r>
          </w:p>
        </w:tc>
        <w:tc>
          <w:tcPr>
            <w:tcW w:type="dxa" w:w="4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/>
            </w:pPr>
            <w:r>
              <w:rPr>
                <w:b/>
                <w:color w:val="17365D"/>
                <w:sz w:val="16"/>
              </w:rPr>
              <w:t>Действие</w:t>
            </w:r>
          </w:p>
        </w:tc>
        <w:tc>
          <w:tcPr>
            <w:tcW w:type="dxa" w:w="3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/>
            </w:pPr>
            <w:r>
              <w:rPr>
                <w:b/>
                <w:color w:val="17365D"/>
                <w:sz w:val="16"/>
              </w:rPr>
              <w:t>Сообщение судье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0:00–0:25</w:t>
            </w:r>
          </w:p>
        </w:tc>
        <w:tc>
          <w:tcPr>
            <w:tcW w:type="dxa" w:w="4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Показать dashboard и проблему cash gap</w:t>
            </w:r>
          </w:p>
        </w:tc>
        <w:tc>
          <w:tcPr>
            <w:tcW w:type="dxa" w:w="36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Один продуктовый тезис, без архитектурного вступления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0:25–1:05</w:t>
            </w:r>
          </w:p>
        </w:tc>
        <w:tc>
          <w:tcPr>
            <w:tcW w:type="dxa" w:w="4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Загрузить encrypted invoice; показать CRE trace/output commitment</w:t>
            </w:r>
          </w:p>
        </w:tc>
        <w:tc>
          <w:tcPr>
            <w:tcW w:type="dxa" w:w="36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Сырой документ не покидает confidential boundary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1:05–1:35</w:t>
            </w:r>
          </w:p>
        </w:tc>
        <w:tc>
          <w:tcPr>
            <w:tcW w:type="dxa" w:w="4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Открыть risk report и Graph snapshot; изменить/обновить benchmark</w:t>
            </w:r>
          </w:p>
        </w:tc>
        <w:tc>
          <w:tcPr>
            <w:tcW w:type="dxa" w:w="36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Live data влияет на экономику, AI не назначает цену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1:35–2:05</w:t>
            </w:r>
          </w:p>
        </w:tc>
        <w:tc>
          <w:tcPr>
            <w:tcW w:type="dxa" w:w="4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Tokenize через ATS; показать explorer/Mirror evidence</w:t>
            </w:r>
          </w:p>
        </w:tc>
        <w:tc>
          <w:tcPr>
            <w:tcW w:type="dxa" w:w="36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Это управляемый актив с compliance lifecycle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2:05–2:50</w:t>
            </w:r>
          </w:p>
        </w:tc>
        <w:tc>
          <w:tcPr>
            <w:tcW w:type="dxa" w:w="4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Подать 3 заявки и очистить auction</w:t>
            </w:r>
          </w:p>
        </w:tc>
        <w:tc>
          <w:tcPr>
            <w:tcW w:type="dxa" w:w="36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Optimizer соблюдает бюджеты/риск/концентрацию и объясняет reject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2:50–3:20</w:t>
            </w:r>
          </w:p>
        </w:tc>
        <w:tc>
          <w:tcPr>
            <w:tcW w:type="dxa" w:w="4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Settle transfers и открыть audit timeline</w:t>
            </w:r>
          </w:p>
        </w:tc>
        <w:tc>
          <w:tcPr>
            <w:tcW w:type="dxa" w:w="36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Off-chain/on-chain состояния сверены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3:20–3:45</w:t>
            </w:r>
          </w:p>
        </w:tc>
        <w:tc>
          <w:tcPr>
            <w:tcW w:type="dxa" w:w="4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Agent вызывает paid endpoint и проходит 402 payment</w:t>
            </w:r>
          </w:p>
        </w:tc>
        <w:tc>
          <w:tcPr>
            <w:tcW w:type="dxa" w:w="36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Machine customer платит за финансовый insight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3:45–4:00</w:t>
            </w:r>
          </w:p>
        </w:tc>
        <w:tc>
          <w:tcPr>
            <w:tcW w:type="dxa" w:w="4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Показать maturity и sponsor mapping</w:t>
            </w:r>
          </w:p>
        </w:tc>
        <w:tc>
          <w:tcPr>
            <w:tcW w:type="dxa" w:w="36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Завершён полный lifecycle</w:t>
            </w:r>
          </w:p>
        </w:tc>
      </w:tr>
    </w:tbl>
    <w:p>
      <w:pPr>
        <w:spacing w:after="20"/>
      </w:pPr>
    </w:p>
    <w:p>
      <w:pPr>
        <w:pStyle w:val="Heading2"/>
      </w:pPr>
      <w:r>
        <w:t>11.4. Развёртывание</w:t>
      </w:r>
    </w:p>
    <w:p>
      <w:r>
        <w:t>Рекомендуемый VPS для небольшого demo: 2 vCPU, 4 GB RAM, 60–80 GB NVMe, Ubuntu LTS, регион с низкой задержкой до используемых RPC. На одном сервере Docker Compose запускает Caddy, Go application и PostgreSQL. React собирается в CI и может отдаваться из Go embed.FS либо Caddy. Объектное хранилище предпочтительно внешнее S3-compatible; MinIO локально — только для разработки.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CodeBlock"/>
            </w:pPr>
            <w:r>
              <w:t>Internet → Caddy :443 → Go monolith :8080 → PostgreSQL :5432</w:t>
              <w:br/>
              <w:t xml:space="preserve">                                 ↘ S3 / The Graph / CRE / Hedera RPC</w:t>
              <w:br/>
              <w:t>CI: lint → unit/property → integration → web build → contract tests → image → deploy → smoke</w:t>
            </w:r>
          </w:p>
        </w:tc>
      </w:tr>
    </w:tbl>
    <w:p>
      <w:pPr>
        <w:spacing w:after="20"/>
      </w:pPr>
    </w:p>
    <w:p>
      <w:pPr>
        <w:pStyle w:val="ListBullet"/>
      </w:pPr>
      <w:r>
        <w:t>Caddy автоматически получает TLS; наружу открыты только 80/443 и ограниченный SSH.</w:t>
      </w:r>
    </w:p>
    <w:p>
      <w:pPr>
        <w:pStyle w:val="ListBullet"/>
      </w:pPr>
      <w:r>
        <w:t>Database не публикуется; daily backup шифруется и проверяется restore-smoke test.</w:t>
      </w:r>
    </w:p>
    <w:p>
      <w:pPr>
        <w:pStyle w:val="ListBullet"/>
      </w:pPr>
      <w:r>
        <w:t>Deploy выполняется immutable image tag; rollback — предыдущий image при совместимой migration.</w:t>
      </w:r>
    </w:p>
    <w:p>
      <w:pPr>
        <w:pStyle w:val="ListBullet"/>
      </w:pPr>
      <w:r>
        <w:t>Readiness становится false при недоступной DB; внешние provider outages не убивают read-only pages.</w:t>
      </w:r>
    </w:p>
    <w:p>
      <w:pPr>
        <w:pStyle w:val="Heading1"/>
      </w:pPr>
      <w:r>
        <w:t>12. План реализации, риски и официальные источники</w:t>
      </w:r>
    </w:p>
    <w:p>
      <w:pPr>
        <w:pStyle w:val="Heading2"/>
      </w:pPr>
      <w:r>
        <w:t>12.1. План на 9 рабочих дней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/>
            </w:pPr>
            <w:r>
              <w:rPr>
                <w:b/>
                <w:color w:val="17365D"/>
                <w:sz w:val="16"/>
              </w:rPr>
              <w:t>День</w:t>
            </w:r>
          </w:p>
        </w:tc>
        <w:tc>
          <w:tcPr>
            <w:tcW w:type="dxa" w:w="5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/>
            </w:pPr>
            <w:r>
              <w:rPr>
                <w:b/>
                <w:color w:val="17365D"/>
                <w:sz w:val="16"/>
              </w:rPr>
              <w:t>Результат</w:t>
            </w:r>
          </w:p>
        </w:tc>
        <w:tc>
          <w:tcPr>
            <w:tcW w:type="dxa" w:w="31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/>
            </w:pPr>
            <w:r>
              <w:rPr>
                <w:b/>
                <w:color w:val="17365D"/>
                <w:sz w:val="16"/>
              </w:rPr>
              <w:t>Exit criterion</w:t>
            </w:r>
          </w:p>
        </w:tc>
      </w:tr>
      <w:tr>
        <w:trPr>
          <w:cantSplit/>
        </w:trPr>
        <w:tc>
          <w:tcPr>
            <w:tcW w:type="dxa" w:w="1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0 / до старта</w:t>
            </w:r>
          </w:p>
        </w:tc>
        <w:tc>
          <w:tcPr>
            <w:tcW w:type="dxa" w:w="5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Только регистрация, ТЗ, wireframes, research; без реализации</w:t>
            </w:r>
          </w:p>
        </w:tc>
        <w:tc>
          <w:tcPr>
            <w:tcW w:type="dxa" w:w="31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Соответствие From Scratch подтверждено</w:t>
            </w:r>
          </w:p>
        </w:tc>
      </w:tr>
      <w:tr>
        <w:trPr>
          <w:cantSplit/>
        </w:trPr>
        <w:tc>
          <w:tcPr>
            <w:tcW w:type="dxa" w:w="1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5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Smoke tests Hedera ATS, Blocky402, Graph, CRE; pin versions</w:t>
            </w:r>
          </w:p>
        </w:tc>
        <w:tc>
          <w:tcPr>
            <w:tcW w:type="dxa" w:w="31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Каждый core SDK делает минимальный live call</w:t>
            </w:r>
          </w:p>
        </w:tc>
      </w:tr>
      <w:tr>
        <w:trPr>
          <w:cantSplit/>
        </w:trPr>
        <w:tc>
          <w:tcPr>
            <w:tcW w:type="dxa" w:w="1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5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Go skeleton, migrations, auth/org/invoice, React shell</w:t>
            </w:r>
          </w:p>
        </w:tc>
        <w:tc>
          <w:tcPr>
            <w:tcW w:type="dxa" w:w="31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Create/list invoice end-to-end</w:t>
            </w:r>
          </w:p>
        </w:tc>
      </w:tr>
      <w:tr>
        <w:trPr>
          <w:cantSplit/>
        </w:trPr>
        <w:tc>
          <w:tcPr>
            <w:tcW w:type="dxa" w:w="1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5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Encrypted upload + CRE workflow + risk schema</w:t>
            </w:r>
          </w:p>
        </w:tc>
        <w:tc>
          <w:tcPr>
            <w:tcW w:type="dxa" w:w="31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Synthetic PDF → signed minimal output</w:t>
            </w:r>
          </w:p>
        </w:tc>
      </w:tr>
      <w:tr>
        <w:trPr>
          <w:cantSplit/>
        </w:trPr>
        <w:tc>
          <w:tcPr>
            <w:tcW w:type="dxa" w:w="1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5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Graph adapter + risk/pricing engine + report UI</w:t>
            </w:r>
          </w:p>
        </w:tc>
        <w:tc>
          <w:tcPr>
            <w:tcW w:type="dxa" w:w="31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Live snapshot changes deterministic price</w:t>
            </w:r>
          </w:p>
        </w:tc>
      </w:tr>
      <w:tr>
        <w:trPr>
          <w:cantSplit/>
        </w:trPr>
        <w:tc>
          <w:tcPr>
            <w:tcW w:type="dxa" w:w="1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5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ATS issuance/roles/lifecycle + asset UI</w:t>
            </w:r>
          </w:p>
        </w:tc>
        <w:tc>
          <w:tcPr>
            <w:tcW w:type="dxa" w:w="31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Testnet asset and eligible transfer</w:t>
            </w:r>
          </w:p>
        </w:tc>
      </w:tr>
      <w:tr>
        <w:trPr>
          <w:cantSplit/>
        </w:trPr>
        <w:tc>
          <w:tcPr>
            <w:tcW w:type="dxa" w:w="1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type="dxa" w:w="5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Bids + solver + property tests + certificate</w:t>
            </w:r>
          </w:p>
        </w:tc>
        <w:tc>
          <w:tcPr>
            <w:tcW w:type="dxa" w:w="31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Non-trivial batch clears deterministically</w:t>
            </w:r>
          </w:p>
        </w:tc>
      </w:tr>
      <w:tr>
        <w:trPr>
          <w:cantSplit/>
        </w:trPr>
        <w:tc>
          <w:tcPr>
            <w:tcW w:type="dxa" w:w="1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type="dxa" w:w="5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Settlement saga, reconciliation, x402 paid flow</w:t>
            </w:r>
          </w:p>
        </w:tc>
        <w:tc>
          <w:tcPr>
            <w:tcW w:type="dxa" w:w="31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Transfers and paid request confirmed</w:t>
            </w:r>
          </w:p>
        </w:tc>
      </w:tr>
      <w:tr>
        <w:trPr>
          <w:cantSplit/>
        </w:trPr>
        <w:tc>
          <w:tcPr>
            <w:tcW w:type="dxa" w:w="1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8</w:t>
            </w:r>
          </w:p>
        </w:tc>
        <w:tc>
          <w:tcPr>
            <w:tcW w:type="dxa" w:w="5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E2E, security pass, telemetry, VPS deploy</w:t>
            </w:r>
          </w:p>
        </w:tc>
        <w:tc>
          <w:tcPr>
            <w:tcW w:type="dxa" w:w="31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Acceptance checklist passes on public URL</w:t>
            </w:r>
          </w:p>
        </w:tc>
      </w:tr>
      <w:tr>
        <w:trPr>
          <w:cantSplit/>
        </w:trPr>
        <w:tc>
          <w:tcPr>
            <w:tcW w:type="dxa" w:w="1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9</w:t>
            </w:r>
          </w:p>
        </w:tc>
        <w:tc>
          <w:tcPr>
            <w:tcW w:type="dxa" w:w="5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Demo seed, video, README, sponsor evidence, buffer</w:t>
            </w:r>
          </w:p>
        </w:tc>
        <w:tc>
          <w:tcPr>
            <w:tcW w:type="dxa" w:w="31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4-minute demo repeated twice without manual repair</w:t>
            </w:r>
          </w:p>
        </w:tc>
      </w:tr>
    </w:tbl>
    <w:p>
      <w:pPr>
        <w:spacing w:after="20"/>
      </w:pPr>
    </w:p>
    <w:p>
      <w:pPr>
        <w:pStyle w:val="Heading2"/>
      </w:pPr>
      <w:r>
        <w:t>12.2. Главные риски и меры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/>
            </w:pPr>
            <w:r>
              <w:rPr>
                <w:b/>
                <w:color w:val="17365D"/>
                <w:sz w:val="15"/>
              </w:rPr>
              <w:t>Риск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/>
            </w:pPr>
            <w:r>
              <w:rPr>
                <w:b/>
                <w:color w:val="17365D"/>
                <w:sz w:val="15"/>
              </w:rPr>
              <w:t>Вероятность / эффект</w:t>
            </w:r>
          </w:p>
        </w:tc>
        <w:tc>
          <w:tcPr>
            <w:tcW w:type="dxa" w:w="4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/>
            </w:pPr>
            <w:r>
              <w:rPr>
                <w:b/>
                <w:color w:val="17365D"/>
                <w:sz w:val="15"/>
              </w:rPr>
              <w:t>Мера и fallback</w:t>
            </w:r>
          </w:p>
        </w:tc>
      </w:tr>
      <w:tr>
        <w:trPr>
          <w:cantSplit/>
        </w:trPr>
        <w:tc>
          <w:tcPr>
            <w:tcW w:type="dxa" w:w="2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ATS SDK/contract mismatch</w:t>
            </w:r>
          </w:p>
        </w:tc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Средняя / высокий</w:t>
            </w:r>
          </w:p>
        </w:tc>
        <w:tc>
          <w:tcPr>
            <w:tcW w:type="dxa" w:w="46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Smoke day 1; isolate adapter; use supported lifecycle subset and document exact version</w:t>
            </w:r>
          </w:p>
        </w:tc>
      </w:tr>
      <w:tr>
        <w:trPr>
          <w:cantSplit/>
        </w:trPr>
        <w:tc>
          <w:tcPr>
            <w:tcW w:type="dxa" w:w="2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CRE confidential environment unavailable</w:t>
            </w:r>
          </w:p>
        </w:tc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Средняя / высокий</w:t>
            </w:r>
          </w:p>
        </w:tc>
        <w:tc>
          <w:tcPr>
            <w:tcW w:type="dxa" w:w="46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Simulation evidence first; fallback third partner = Privy, but keep local confidential adapter only for product demo</w:t>
            </w:r>
          </w:p>
        </w:tc>
      </w:tr>
      <w:tr>
        <w:trPr>
          <w:cantSplit/>
        </w:trPr>
        <w:tc>
          <w:tcPr>
            <w:tcW w:type="dxa" w:w="2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Graph standardized data not on Hedera</w:t>
            </w:r>
          </w:p>
        </w:tc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Высокая / средний</w:t>
            </w:r>
          </w:p>
        </w:tc>
        <w:tc>
          <w:tcPr>
            <w:tcW w:type="dxa" w:w="46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Use Graph as cross-market reference benchmark, explicitly label source; no false claim of Hedera indexing</w:t>
            </w:r>
          </w:p>
        </w:tc>
      </w:tr>
      <w:tr>
        <w:trPr>
          <w:cantSplit/>
        </w:trPr>
        <w:tc>
          <w:tcPr>
            <w:tcW w:type="dxa" w:w="2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Too much solo scope</w:t>
            </w:r>
          </w:p>
        </w:tc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Высокая / высокий</w:t>
            </w:r>
          </w:p>
        </w:tc>
        <w:tc>
          <w:tcPr>
            <w:tcW w:type="dxa" w:w="46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Freeze MVP path; synthetic dataset; one asset type; one currency; no production KYC</w:t>
            </w:r>
          </w:p>
        </w:tc>
      </w:tr>
      <w:tr>
        <w:trPr>
          <w:cantSplit/>
        </w:trPr>
        <w:tc>
          <w:tcPr>
            <w:tcW w:type="dxa" w:w="2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Auction optimizer overruns</w:t>
            </w:r>
          </w:p>
        </w:tc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Низкая / средний</w:t>
            </w:r>
          </w:p>
        </w:tc>
        <w:tc>
          <w:tcPr>
            <w:tcW w:type="dxa" w:w="46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Bound branch-and-bound; use divisible flow solution; publish solver limit</w:t>
            </w:r>
          </w:p>
        </w:tc>
      </w:tr>
      <w:tr>
        <w:trPr>
          <w:cantSplit/>
        </w:trPr>
        <w:tc>
          <w:tcPr>
            <w:tcW w:type="dxa" w:w="2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On-chain partial failure</w:t>
            </w:r>
          </w:p>
        </w:tc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Средняя / высокий</w:t>
            </w:r>
          </w:p>
        </w:tc>
        <w:tc>
          <w:tcPr>
            <w:tcW w:type="dxa" w:w="46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Saga, idempotency, Mirror reconciliation, small testnet batch</w:t>
            </w:r>
          </w:p>
        </w:tc>
      </w:tr>
      <w:tr>
        <w:trPr>
          <w:cantSplit/>
        </w:trPr>
        <w:tc>
          <w:tcPr>
            <w:tcW w:type="dxa" w:w="2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Judges see decorative sponsors</w:t>
            </w:r>
          </w:p>
        </w:tc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Средняя / высокий</w:t>
            </w:r>
          </w:p>
        </w:tc>
        <w:tc>
          <w:tcPr>
            <w:tcW w:type="dxa" w:w="46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Show counterfactual: disable each integration and core path/price/payment fails</w:t>
            </w:r>
          </w:p>
        </w:tc>
      </w:tr>
      <w:tr>
        <w:trPr>
          <w:cantSplit/>
        </w:trPr>
        <w:tc>
          <w:tcPr>
            <w:tcW w:type="dxa" w:w="2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Regulatory overclaim</w:t>
            </w:r>
          </w:p>
        </w:tc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Средняя / высокий</w:t>
            </w:r>
          </w:p>
        </w:tc>
        <w:tc>
          <w:tcPr>
            <w:tcW w:type="dxa" w:w="46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5"/>
              </w:rPr>
              <w:t>Prominent testnet/prototype disclaimer; say “compliance controls,” not legal compliance</w:t>
            </w:r>
          </w:p>
        </w:tc>
      </w:tr>
    </w:tbl>
    <w:p>
      <w:pPr>
        <w:spacing w:after="20"/>
      </w:pPr>
    </w:p>
    <w:p>
      <w:pPr>
        <w:pStyle w:val="Heading2"/>
      </w:pPr>
      <w:r>
        <w:t>12.3. Go / no-go checkpoints</w:t>
      </w:r>
    </w:p>
    <w:p>
      <w:pPr>
        <w:pStyle w:val="ListBullet"/>
      </w:pPr>
      <w:r>
        <w:t>End of day 1: if a core SDK cannot complete a minimal live operation, change scope before building UI around it.</w:t>
      </w:r>
    </w:p>
    <w:p>
      <w:pPr>
        <w:pStyle w:val="ListBullet"/>
      </w:pPr>
      <w:r>
        <w:t>End of day 4: if confidential assessment and Graph-backed pricing are not end-to-end, stop secondary features.</w:t>
      </w:r>
    </w:p>
    <w:p>
      <w:pPr>
        <w:pStyle w:val="ListBullet"/>
      </w:pPr>
      <w:r>
        <w:t>End of day 6: if ATS transfer or deterministic solver is not working, simplify asset/auction granularity, not auditability.</w:t>
      </w:r>
    </w:p>
    <w:p>
      <w:pPr>
        <w:pStyle w:val="ListBullet"/>
      </w:pPr>
      <w:r>
        <w:t>End of day 8: no new features; only acceptance failures, evidence, demo stability and documentation.</w:t>
      </w:r>
    </w:p>
    <w:p>
      <w:pPr>
        <w:pStyle w:val="Heading2"/>
      </w:pPr>
      <w:r>
        <w:t>12.4. Definition of submission package</w:t>
      </w:r>
    </w:p>
    <w:p>
      <w:pPr>
        <w:pStyle w:val="ListBullet"/>
      </w:pPr>
      <w:r>
        <w:t>Public source repository with license, architecture, exact setup and test commands.</w:t>
      </w:r>
    </w:p>
    <w:p>
      <w:pPr>
        <w:pStyle w:val="ListBullet"/>
      </w:pPr>
      <w:r>
        <w:t>Public demo URL and seeded wallets/test data instructions.</w:t>
      </w:r>
    </w:p>
    <w:p>
      <w:pPr>
        <w:pStyle w:val="ListBullet"/>
      </w:pPr>
      <w:r>
        <w:t>3–4 minute video with captions and visible chain/Graph/CRE/x402 evidence.</w:t>
      </w:r>
    </w:p>
    <w:p>
      <w:pPr>
        <w:pStyle w:val="ListBullet"/>
      </w:pPr>
      <w:r>
        <w:t>Partner matrix mapping requirement → file/module → transaction/query/log → demo timestamp.</w:t>
      </w:r>
    </w:p>
    <w:p>
      <w:pPr>
        <w:pStyle w:val="ListBullet"/>
      </w:pPr>
      <w:r>
        <w:t>Known limitations, security disclaimer and proof that work began inside the allowed period.</w:t>
      </w:r>
    </w:p>
    <w:p>
      <w:pPr>
        <w:pStyle w:val="Heading1"/>
      </w:pPr>
      <w:r>
        <w:t>Приложение A. Decision log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/>
            </w:pPr>
            <w:r>
              <w:rPr>
                <w:b/>
                <w:color w:val="17365D"/>
                <w:sz w:val="16"/>
              </w:rPr>
              <w:t>Решение</w:t>
            </w:r>
          </w:p>
        </w:tc>
        <w:tc>
          <w:tcPr>
            <w:tcW w:type="dxa" w:w="2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/>
            </w:pPr>
            <w:r>
              <w:rPr>
                <w:b/>
                <w:color w:val="17365D"/>
                <w:sz w:val="16"/>
              </w:rPr>
              <w:t>Выбор</w:t>
            </w:r>
          </w:p>
        </w:tc>
        <w:tc>
          <w:tcPr>
            <w:tcW w:type="dxa" w:w="47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/>
            </w:pPr>
            <w:r>
              <w:rPr>
                <w:b/>
                <w:color w:val="17365D"/>
                <w:sz w:val="16"/>
              </w:rPr>
              <w:t>Причина / последствие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Team</w:t>
            </w:r>
          </w:p>
        </w:tc>
        <w:tc>
          <w:tcPr>
            <w:tcW w:type="dxa" w:w="2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Solo</w:t>
            </w:r>
          </w:p>
        </w:tc>
        <w:tc>
          <w:tcPr>
            <w:tcW w:type="dxa" w:w="47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Меньше coordination overhead; scope intentionally bounded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Architecture</w:t>
            </w:r>
          </w:p>
        </w:tc>
        <w:tc>
          <w:tcPr>
            <w:tcW w:type="dxa" w:w="2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Modular monolith</w:t>
            </w:r>
          </w:p>
        </w:tc>
        <w:tc>
          <w:tcPr>
            <w:tcW w:type="dxa" w:w="47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One deployable and DB; clear module boundaries retain future extraction path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Backend</w:t>
            </w:r>
          </w:p>
        </w:tc>
        <w:tc>
          <w:tcPr>
            <w:tcW w:type="dxa" w:w="2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Go</w:t>
            </w:r>
          </w:p>
        </w:tc>
        <w:tc>
          <w:tcPr>
            <w:tcW w:type="dxa" w:w="47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Strong concurrency, deterministic algorithms, compact VPS footprint, CRE Go handler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2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React + TypeScript</w:t>
            </w:r>
          </w:p>
        </w:tc>
        <w:tc>
          <w:tcPr>
            <w:tcW w:type="dxa" w:w="47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ATS SDK/wallet ecosystem and fast dashboard implementation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Asset network</w:t>
            </w:r>
          </w:p>
        </w:tc>
        <w:tc>
          <w:tcPr>
            <w:tcW w:type="dxa" w:w="2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Hedera Testnet</w:t>
            </w:r>
          </w:p>
        </w:tc>
        <w:tc>
          <w:tcPr>
            <w:tcW w:type="dxa" w:w="47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ATS, compliance lifecycle and Blocky402 alignment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AI authority</w:t>
            </w:r>
          </w:p>
        </w:tc>
        <w:tc>
          <w:tcPr>
            <w:tcW w:type="dxa" w:w="2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Extraction/explanation only</w:t>
            </w:r>
          </w:p>
        </w:tc>
        <w:tc>
          <w:tcPr>
            <w:tcW w:type="dxa" w:w="47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No hallucinated financial decisions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Auction</w:t>
            </w:r>
          </w:p>
        </w:tc>
        <w:tc>
          <w:tcPr>
            <w:tcW w:type="dxa" w:w="2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Batch constrained optimization</w:t>
            </w:r>
          </w:p>
        </w:tc>
        <w:tc>
          <w:tcPr>
            <w:tcW w:type="dxa" w:w="47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Stronger technical moat than simple first-come order book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Documents</w:t>
            </w:r>
          </w:p>
        </w:tc>
        <w:tc>
          <w:tcPr>
            <w:tcW w:type="dxa" w:w="2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Synthetic + encrypted</w:t>
            </w:r>
          </w:p>
        </w:tc>
        <w:tc>
          <w:tcPr>
            <w:tcW w:type="dxa" w:w="47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Safe demo and clear privacy boundary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Partner trio</w:t>
            </w:r>
          </w:p>
        </w:tc>
        <w:tc>
          <w:tcPr>
            <w:tcW w:type="dxa" w:w="24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Hedera + The Graph + Chainlink</w:t>
            </w:r>
          </w:p>
        </w:tc>
        <w:tc>
          <w:tcPr>
            <w:tcW w:type="dxa" w:w="47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6"/>
              </w:rPr>
              <w:t>Token lifecycle + live data + confidential computation</w:t>
            </w:r>
          </w:p>
        </w:tc>
      </w:tr>
    </w:tbl>
    <w:p>
      <w:pPr>
        <w:spacing w:after="20"/>
      </w:pPr>
    </w:p>
    <w:p>
      <w:pPr>
        <w:pStyle w:val="Heading1"/>
      </w:pPr>
      <w:r>
        <w:t>Приложение B. Официальные ссылки</w:t>
      </w:r>
    </w:p>
    <w:p>
      <w:pPr>
        <w:pStyle w:val="ListBullet"/>
      </w:pPr>
      <w:hyperlink r:id="rId12">
        <w:r>
          <w:rPr>
            <w:color w:val="2E74B5"/>
            <w:u w:val="single"/>
          </w:rPr>
          <w:t>ETHOnline 2026 — prizes</w:t>
        </w:r>
      </w:hyperlink>
      <w:r>
        <w:rPr>
          <w:sz w:val="17"/>
        </w:rPr>
        <w:t xml:space="preserve"> — https://ethglobal.com/events/ethonline2026/prizes</w:t>
      </w:r>
    </w:p>
    <w:p>
      <w:pPr>
        <w:pStyle w:val="ListBullet"/>
      </w:pPr>
      <w:hyperlink r:id="rId13">
        <w:r>
          <w:rPr>
            <w:color w:val="2E74B5"/>
            <w:u w:val="single"/>
          </w:rPr>
          <w:t>Hedera Asset Tokenization Studio — product</w:t>
        </w:r>
      </w:hyperlink>
      <w:r>
        <w:rPr>
          <w:sz w:val="17"/>
        </w:rPr>
        <w:t xml:space="preserve"> — https://hedera.com/product/asset-tokenization-studio/</w:t>
      </w:r>
    </w:p>
    <w:p>
      <w:pPr>
        <w:pStyle w:val="ListBullet"/>
      </w:pPr>
      <w:hyperlink r:id="rId14">
        <w:r>
          <w:rPr>
            <w:color w:val="2E74B5"/>
            <w:u w:val="single"/>
          </w:rPr>
          <w:t>Asset Tokenization Studio — documentation</w:t>
        </w:r>
      </w:hyperlink>
      <w:r>
        <w:rPr>
          <w:sz w:val="17"/>
        </w:rPr>
        <w:t xml:space="preserve"> — https://docs.tokenization-studio.hedera.com/ats/getting-started/quick-start/</w:t>
      </w:r>
    </w:p>
    <w:p>
      <w:pPr>
        <w:pStyle w:val="ListBullet"/>
      </w:pPr>
      <w:hyperlink r:id="rId15">
        <w:r>
          <w:rPr>
            <w:color w:val="2E74B5"/>
            <w:u w:val="single"/>
          </w:rPr>
          <w:t>Asset Tokenization Studio — GitHub</w:t>
        </w:r>
      </w:hyperlink>
      <w:r>
        <w:rPr>
          <w:sz w:val="17"/>
        </w:rPr>
        <w:t xml:space="preserve"> — https://github.com/hashgraph/asset-tokenization-studio</w:t>
      </w:r>
    </w:p>
    <w:p>
      <w:pPr>
        <w:pStyle w:val="ListBullet"/>
      </w:pPr>
      <w:hyperlink r:id="rId16">
        <w:r>
          <w:rPr>
            <w:color w:val="2E74B5"/>
            <w:u w:val="single"/>
          </w:rPr>
          <w:t>Hedera and the x402 payment standard</w:t>
        </w:r>
      </w:hyperlink>
      <w:r>
        <w:rPr>
          <w:sz w:val="17"/>
        </w:rPr>
        <w:t xml:space="preserve"> — https://hedera.com/blog/hedera-and-the-x402-payment-standard/</w:t>
      </w:r>
    </w:p>
    <w:p>
      <w:pPr>
        <w:pStyle w:val="ListBullet"/>
      </w:pPr>
      <w:hyperlink r:id="rId17">
        <w:r>
          <w:rPr>
            <w:color w:val="2E74B5"/>
            <w:u w:val="single"/>
          </w:rPr>
          <w:t>The Graph — Standardized Subgraphs</w:t>
        </w:r>
      </w:hyperlink>
      <w:r>
        <w:rPr>
          <w:sz w:val="17"/>
        </w:rPr>
        <w:t xml:space="preserve"> — https://thegraph.com/docs/en/subgraphs/existing-subgraphs/standard-subgraphs/</w:t>
      </w:r>
    </w:p>
    <w:p>
      <w:pPr>
        <w:pStyle w:val="ListBullet"/>
      </w:pPr>
      <w:hyperlink r:id="rId18">
        <w:r>
          <w:rPr>
            <w:color w:val="2E74B5"/>
            <w:u w:val="single"/>
          </w:rPr>
          <w:t>The Graph — Subgraph MCP</w:t>
        </w:r>
      </w:hyperlink>
      <w:r>
        <w:rPr>
          <w:sz w:val="17"/>
        </w:rPr>
        <w:t xml:space="preserve"> — https://thegraph.com/docs/en/subgraphs/tooling/subgraph-mcp/introduction/</w:t>
      </w:r>
    </w:p>
    <w:p>
      <w:pPr>
        <w:pStyle w:val="SmallNote"/>
      </w:pPr>
      <w:r>
        <w:t>Версии, доступность SDK и точные требования prize tracks должны быть повторно проверены в день старта и перед submit. В случае расхождения актуальные официальные правила события имеют приоритет над этим ТЗ.</w:t>
      </w:r>
    </w:p>
    <w:p>
      <w:pPr>
        <w:pStyle w:val="Heading1"/>
      </w:pPr>
      <w:r>
        <w:t>Приложение C. Глоссарий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/>
            </w:pPr>
            <w:r>
              <w:rPr>
                <w:b/>
                <w:color w:val="17365D"/>
                <w:sz w:val="17"/>
              </w:rPr>
              <w:t>Термин</w:t>
            </w:r>
          </w:p>
        </w:tc>
        <w:tc>
          <w:tcPr>
            <w:tcW w:type="dxa" w:w="7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/>
            </w:pPr>
            <w:r>
              <w:rPr>
                <w:b/>
                <w:color w:val="17365D"/>
                <w:sz w:val="17"/>
              </w:rPr>
              <w:t>Определение</w:t>
            </w:r>
          </w:p>
        </w:tc>
      </w:tr>
      <w:tr>
        <w:trPr>
          <w:cantSplit/>
        </w:trPr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Invoice / receivable</w:t>
            </w:r>
          </w:p>
        </w:tc>
        <w:tc>
          <w:tcPr>
            <w:tcW w:type="dxa" w:w="7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Денежное требование поставщика к дебитору с указанным сроком</w:t>
            </w:r>
          </w:p>
        </w:tc>
      </w:tr>
      <w:tr>
        <w:trPr>
          <w:cantSplit/>
        </w:trPr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Factoring</w:t>
            </w:r>
          </w:p>
        </w:tc>
        <w:tc>
          <w:tcPr>
            <w:tcW w:type="dxa" w:w="7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Финансирование поставщика под уступку/экономику дебиторской задолженности</w:t>
            </w:r>
          </w:p>
        </w:tc>
      </w:tr>
      <w:tr>
        <w:trPr>
          <w:cantSplit/>
        </w:trPr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PD / LGD / EAD</w:t>
            </w:r>
          </w:p>
        </w:tc>
        <w:tc>
          <w:tcPr>
            <w:tcW w:type="dxa" w:w="7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Probability of default / loss given default / exposure at default</w:t>
            </w:r>
          </w:p>
        </w:tc>
      </w:tr>
      <w:tr>
        <w:trPr>
          <w:cantSplit/>
        </w:trPr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Expected loss</w:t>
            </w:r>
          </w:p>
        </w:tc>
        <w:tc>
          <w:tcPr>
            <w:tcW w:type="dxa" w:w="7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PD × LGD × EAD</w:t>
            </w:r>
          </w:p>
        </w:tc>
      </w:tr>
      <w:tr>
        <w:trPr>
          <w:cantSplit/>
        </w:trPr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Reserve price</w:t>
            </w:r>
          </w:p>
        </w:tc>
        <w:tc>
          <w:tcPr>
            <w:tcW w:type="dxa" w:w="7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Минимально допустимая цена продажи требования после risk and fee adjustments</w:t>
            </w:r>
          </w:p>
        </w:tc>
      </w:tr>
      <w:tr>
        <w:trPr>
          <w:cantSplit/>
        </w:trPr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ATS</w:t>
            </w:r>
          </w:p>
        </w:tc>
        <w:tc>
          <w:tcPr>
            <w:tcW w:type="dxa" w:w="7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Hedera Asset Tokenization Studio</w:t>
            </w:r>
          </w:p>
        </w:tc>
      </w:tr>
      <w:tr>
        <w:trPr>
          <w:cantSplit/>
        </w:trPr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CRE / TEE</w:t>
            </w:r>
          </w:p>
        </w:tc>
        <w:tc>
          <w:tcPr>
            <w:tcW w:type="dxa" w:w="7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Chainlink Runtime Environment / Trusted Execution Environment</w:t>
            </w:r>
          </w:p>
        </w:tc>
      </w:tr>
      <w:tr>
        <w:trPr>
          <w:cantSplit/>
        </w:trPr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x402</w:t>
            </w:r>
          </w:p>
        </w:tc>
        <w:tc>
          <w:tcPr>
            <w:tcW w:type="dxa" w:w="7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Payment protocol using HTTP 402 for machine-to-machine paid access</w:t>
            </w:r>
          </w:p>
        </w:tc>
      </w:tr>
      <w:tr>
        <w:trPr>
          <w:cantSplit/>
        </w:trPr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Allocation certificate</w:t>
            </w:r>
          </w:p>
        </w:tc>
        <w:tc>
          <w:tcPr>
            <w:tcW w:type="dxa" w:w="7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Canonical hashable record of solver inputs, version, allocations and verification</w:t>
            </w:r>
          </w:p>
        </w:tc>
      </w:tr>
      <w:tr>
        <w:trPr>
          <w:cantSplit/>
        </w:trPr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Outbox</w:t>
            </w:r>
          </w:p>
        </w:tc>
        <w:tc>
          <w:tcPr>
            <w:tcW w:type="dxa" w:w="7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Transactional pattern for durable asynchronous external side effects</w:t>
            </w:r>
          </w:p>
        </w:tc>
      </w:tr>
      <w:tr>
        <w:trPr>
          <w:cantSplit/>
        </w:trPr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Reconciliation</w:t>
            </w:r>
          </w:p>
        </w:tc>
        <w:tc>
          <w:tcPr>
            <w:tcW w:type="dxa" w:w="7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40" w:lineRule="auto"/>
            </w:pPr>
            <w:r>
              <w:rPr>
                <w:sz w:val="17"/>
              </w:rPr>
              <w:t>Сопоставление локального состояния с подтверждённым on-chain state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467"/>
        <w:sz w:val="16"/>
      </w:rPr>
      <w:t xml:space="preserve">FactorFlow  •  Confidential project proposal  •  Page </w:t>
    </w:r>
    <w:r>
      <w:rPr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3" w:color="D9E2F3"/>
      </w:pBdr>
    </w:pPr>
    <w:r>
      <w:rPr>
        <w:rFonts w:ascii="Calibri" w:hAnsi="Calibri"/>
        <w:color w:val="475467"/>
        <w:sz w:val="16"/>
      </w:rPr>
      <w:t>FACTORFLOW  |  ETHONLINE 2026  |  TECHNICAL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475467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basedOn w:val="Normal"/>
    <w:pPr>
      <w:spacing w:after="80"/>
    </w:pPr>
    <w:rPr>
      <w:color w:val="475467"/>
      <w:sz w:val="18"/>
    </w:rPr>
  </w:style>
  <w:style w:type="paragraph" w:customStyle="1" w:styleId="CodeBlock">
    <w:name w:val="Code Block"/>
    <w:basedOn w:val="Normal"/>
    <w:pPr>
      <w:spacing w:before="60" w:after="60" w:line="240" w:lineRule="auto"/>
      <w:ind w:left="259" w:right="259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ethglobal.com/events/ethonline2026/prizes" TargetMode="External"/><Relationship Id="rId13" Type="http://schemas.openxmlformats.org/officeDocument/2006/relationships/hyperlink" Target="https://hedera.com/product/asset-tokenization-studio/" TargetMode="External"/><Relationship Id="rId14" Type="http://schemas.openxmlformats.org/officeDocument/2006/relationships/hyperlink" Target="https://docs.tokenization-studio.hedera.com/ats/getting-started/quick-start/" TargetMode="External"/><Relationship Id="rId15" Type="http://schemas.openxmlformats.org/officeDocument/2006/relationships/hyperlink" Target="https://github.com/hashgraph/asset-tokenization-studio" TargetMode="External"/><Relationship Id="rId16" Type="http://schemas.openxmlformats.org/officeDocument/2006/relationships/hyperlink" Target="https://hedera.com/blog/hedera-and-the-x402-payment-standard/" TargetMode="External"/><Relationship Id="rId17" Type="http://schemas.openxmlformats.org/officeDocument/2006/relationships/hyperlink" Target="https://thegraph.com/docs/en/subgraphs/existing-subgraphs/standard-subgraphs/" TargetMode="External"/><Relationship Id="rId18" Type="http://schemas.openxmlformats.org/officeDocument/2006/relationships/hyperlink" Target="https://thegraph.com/docs/en/subgraphs/tooling/subgraph-mcp/introduc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FactorFlow — Technical Specification</dc:title>
  <dc:subject>ETHOnline 2026 project registration</dc:subject>
  <dc:creator>FactorFlow project team (solo submission)</dc:creator>
  <cp:keywords>ETHOnline 2026, Hedera, The Graph, Chainlink, Go, React, tokenized invoices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