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4117"/>
                  </w:pPr>
                </w:p>
                <w:p>
                  <w:pPr>
                    <w:spacing w:after="500"/>
                  </w:pPr>
                  <w:r>
                    <w:rPr>
                      <w:rFonts w:ascii="Calibri"/>
                      <w:color w:val="D4875A"/>
                      <w:spacing w:val="60"/>
                      <w:sz w:val="18"/>
                      <w:szCs w:val="18"/>
                    </w:rPr>
                    <w:t xml:space="preserve">S O F A   S C O R E   F A N T A S Y   C O A C H</w:t>
                  </w:r>
                </w:p>
                <w:p>
                  <w:pPr>
                    <w:spacing w:after="200" w:line="920" w:lineRule="atLeast"/>
                  </w:pPr>
                  <w:r>
                    <w:rPr>
                      <w:rFonts w:ascii="Arial" w:eastAsia="SimHei"/>
                      <w:b/>
                      <w:bCs/>
                      <w:color w:val="FFFFFF"/>
                      <w:sz w:val="80"/>
                      <w:szCs w:val="80"/>
                    </w:rPr>
                    <w:t xml:space="preserve">Cahier des Charges</w:t>
                  </w:r>
                </w:p>
                <w:p>
                  <w:pPr>
                    <w:spacing w:after="100"/>
                  </w:pPr>
                  <w:r>
                    <w:rPr>
                      <w:rFonts w:ascii="Arial" w:eastAsia="Microsoft YaHei"/>
                      <w:color w:val="B0B8C0"/>
                      <w:sz w:val="24"/>
                      <w:szCs w:val="24"/>
                    </w:rPr>
                    <w:t xml:space="preserve">Sofascore Fantasy Coach — Premier League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val="clear"/>
                </w:tcPr>
                <w:p/>
              </w:tc>
            </w:tr>
          </w:tbl>
          <w:p>
            <w:pPr>
              <w:spacing w:before="800"/>
            </w:pPr>
          </w:p>
          <w:p>
            <w:pPr>
              <w:spacing w:after="100"/>
              <w:ind w:left="1200"/>
            </w:pPr>
            <w:r>
              <w:rPr>
                <w:rFonts w:ascii="Arial" w:eastAsia="Microsoft YaHei"/>
                <w:color w:val="90989F"/>
                <w:sz w:val="28"/>
                <w:szCs w:val="28"/>
              </w:rPr>
              <w:t xml:space="preserve">Projet : assistant décisionnel connecté aux données réelles</w:t>
            </w:r>
          </w:p>
          <w:p>
            <w:pPr>
              <w:spacing w:after="100"/>
              <w:ind w:left="1200"/>
            </w:pPr>
            <w:r>
              <w:rPr>
                <w:rFonts w:ascii="Arial" w:eastAsia="Microsoft YaHei"/>
                <w:color w:val="90989F"/>
                <w:sz w:val="28"/>
                <w:szCs w:val="28"/>
              </w:rPr>
              <w:t xml:space="preserve">Ligue privée : « Le fond de la classe » — 5 managers</w:t>
            </w:r>
          </w:p>
          <w:p>
            <w:pPr>
              <w:spacing w:after="100"/>
              <w:ind w:left="1200"/>
            </w:pPr>
            <w:r>
              <w:rPr>
                <w:rFonts w:ascii="Arial" w:eastAsia="Microsoft YaHei"/>
                <w:color w:val="90989F"/>
                <w:sz w:val="28"/>
                <w:szCs w:val="28"/>
              </w:rPr>
              <w:t xml:space="preserve">Saison : 2026/27 — Journée 4 en cours (au 13 septembre 2026)</w:t>
            </w:r>
          </w:p>
          <w:p>
            <w:pPr>
              <w:spacing w:after="100"/>
              <w:ind w:left="1200"/>
            </w:pPr>
            <w:r>
              <w:rPr>
                <w:rFonts w:ascii="Arial" w:eastAsia="Microsoft YaHei"/>
                <w:color w:val="90989F"/>
                <w:sz w:val="28"/>
                <w:szCs w:val="28"/>
              </w:rPr>
              <w:t xml:space="preserve">Version : 1.0 — Document de travail à valider</w:t>
            </w:r>
          </w:p>
          <w:p>
            <w:pPr>
              <w:spacing w:before="2000"/>
            </w:pPr>
          </w:p>
          <w:p>
            <w:pPr>
              <w:ind w:left="1200"/>
            </w:pPr>
            <w:r>
              <w:rPr>
                <w:color w:val="909090"/>
                <w:sz w:val="22"/>
                <w:szCs w:val="22"/>
              </w:rPr>
              <w:t xml:space="preserve">Usage strictement personnel — confidentiel</w:t>
            </w:r>
            <w:r>
              <w:t xml:space="preserve">          </w:t>
            </w:r>
            <w:r>
              <w:rPr>
                <w:color w:val="909090"/>
                <w:sz w:val="22"/>
                <w:szCs w:val="22"/>
              </w:rPr>
              <w:t xml:space="preserve">14 septembre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Résumé exécutif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Le jeu support : Sofascore Fantasy Premier League 2026/27</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Règles officielles de la saison 2026/27</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Ce qui change en 2026/27 et pourquoi cela compte</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La ligue cible : « Le fond de la classe »</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Classement réel au 13 septembre 2026</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Lecture tactique de départ</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Cahier des charges : les 24 points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Groupe A — Fondements du projet (points 1 à 6)</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Point 1 — Nom et identité du logiciel</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Point 2 — Vision et finalité</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Point 3 — Utilisateurs et périmètre</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Point 4 — Le jeu support et ses règles officielles</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Point 5 — La ligue cible « Le fond de la classe »</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Point 6 — Principes directeurs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Groupe B — Fonctionnalités (points 7 à 14)</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Point 7 — Module « Mon équipe »</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Point 8 — Analyse joueurs</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Point 9 — Prédictions Fantasy Score</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Point 10 — Calendrier et Fixture Score</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Point 11 — Moteur d'alertes</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Point 12 — League War Room</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Point 13 — Differential Finder</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Point 14 — Assistant IA connecté</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Groupe C — Données réelles et architecture (points 15 à 21)</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Point 15 — Sources de données réelles</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Point 16 — Constat d'accès du 14 septembre 2026</w:t>
            </w:r>
            <w:r>
              <w:tab/>
            </w:r>
            <w:r>
              <w:fldChar w:fldCharType="begin"/>
            </w:r>
            <w:r>
              <w:instrText xml:space="preserve"> PAGEREF _Toc100026 \h </w:instrText>
            </w:r>
            <w:r>
              <w:fldChar w:fldCharType="separate"/>
            </w:r>
            <w:r>
              <w:t>8</w:t>
            </w:r>
            <w:r>
              <w:fldChar w:fldCharType="end"/>
            </w:r>
          </w:hyperlink>
        </w:p>
        <w:p>
          <w:pPr>
            <w:pStyle w:val="12"/>
            <w:ind w:left="720"/>
            <w:tabs>
              <w:tab w:val="right" w:leader="dot" w:pos="9026"/>
            </w:tabs>
            <w:spacing w:before="120" w:after="60"/>
          </w:pPr>
          <w:hyperlink w:anchor="_Toc100027" w:history="1">
            <w:r>
              <w:rPr>
                <w:rStyle w:val="Hyperlink"/>
              </w:rPr>
              <w:t>Point 17 — Connecteur local (option retenue)</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28" w:history="1">
            <w:r>
              <w:rPr>
                <w:rStyle w:val="Hyperlink"/>
              </w:rPr>
              <w:t>Point 18 — Options de repli</w:t>
            </w:r>
            <w:r>
              <w:tab/>
            </w:r>
            <w:r>
              <w:fldChar w:fldCharType="begin"/>
            </w:r>
            <w:r>
              <w:instrText xml:space="preserve"> PAGEREF _Toc100028 \h </w:instrText>
            </w:r>
            <w:r>
              <w:fldChar w:fldCharType="separate"/>
            </w:r>
            <w:r>
              <w:t>9</w:t>
            </w:r>
            <w:r>
              <w:fldChar w:fldCharType="end"/>
            </w:r>
          </w:hyperlink>
        </w:p>
        <w:p>
          <w:pPr>
            <w:pStyle w:val="12"/>
            <w:ind w:left="720"/>
            <w:tabs>
              <w:tab w:val="right" w:leader="dot" w:pos="9026"/>
            </w:tabs>
            <w:spacing w:before="120" w:after="60"/>
          </w:pPr>
          <w:hyperlink w:anchor="_Toc100029" w:history="1">
            <w:r>
              <w:rPr>
                <w:rStyle w:val="Hyperlink"/>
              </w:rPr>
              <w:t>Point 19 — Normalisation et base de données</w:t>
            </w:r>
            <w:r>
              <w:tab/>
            </w:r>
            <w:r>
              <w:fldChar w:fldCharType="begin"/>
            </w:r>
            <w:r>
              <w:instrText xml:space="preserve"> PAGEREF _Toc100029 \h </w:instrText>
            </w:r>
            <w:r>
              <w:fldChar w:fldCharType="separate"/>
            </w:r>
            <w:r>
              <w:t>9</w:t>
            </w:r>
            <w:r>
              <w:fldChar w:fldCharType="end"/>
            </w:r>
          </w:hyperlink>
        </w:p>
        <w:p>
          <w:pPr>
            <w:pStyle w:val="12"/>
            <w:ind w:left="720"/>
            <w:tabs>
              <w:tab w:val="right" w:leader="dot" w:pos="9026"/>
            </w:tabs>
            <w:spacing w:before="120" w:after="60"/>
          </w:pPr>
          <w:hyperlink w:anchor="_Toc100030" w:history="1">
            <w:r>
              <w:rPr>
                <w:rStyle w:val="Hyperlink"/>
              </w:rPr>
              <w:t>Point 20 — Moteurs analytiques</w:t>
            </w:r>
            <w:r>
              <w:tab/>
            </w:r>
            <w:r>
              <w:fldChar w:fldCharType="begin"/>
            </w:r>
            <w:r>
              <w:instrText xml:space="preserve"> PAGEREF _Toc100030 \h </w:instrText>
            </w:r>
            <w:r>
              <w:fldChar w:fldCharType="separate"/>
            </w:r>
            <w:r>
              <w:t>9</w:t>
            </w:r>
            <w:r>
              <w:fldChar w:fldCharType="end"/>
            </w:r>
          </w:hyperlink>
        </w:p>
        <w:p>
          <w:pPr>
            <w:pStyle w:val="12"/>
            <w:ind w:left="720"/>
            <w:tabs>
              <w:tab w:val="right" w:leader="dot" w:pos="9026"/>
            </w:tabs>
            <w:spacing w:before="120" w:after="60"/>
          </w:pPr>
          <w:hyperlink w:anchor="_Toc100031" w:history="1">
            <w:r>
              <w:rPr>
                <w:rStyle w:val="Hyperlink"/>
              </w:rPr>
              <w:t>Point 21 — Sécurité et conformité</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Groupe D — Réalisation (points 22 à 24)</w:t>
            </w:r>
            <w:r>
              <w:tab/>
            </w:r>
            <w:r>
              <w:fldChar w:fldCharType="begin"/>
            </w:r>
            <w:r>
              <w:instrText xml:space="preserve"> PAGEREF _Toc100032 \h </w:instrText>
            </w:r>
            <w:r>
              <w:fldChar w:fldCharType="separate"/>
            </w:r>
            <w:r>
              <w:t>10</w:t>
            </w:r>
            <w:r>
              <w:fldChar w:fldCharType="end"/>
            </w:r>
          </w:hyperlink>
        </w:p>
        <w:p>
          <w:pPr>
            <w:pStyle w:val="12"/>
            <w:ind w:left="720"/>
            <w:tabs>
              <w:tab w:val="right" w:leader="dot" w:pos="9026"/>
            </w:tabs>
            <w:spacing w:before="120" w:after="60"/>
          </w:pPr>
          <w:hyperlink w:anchor="_Toc100033" w:history="1">
            <w:r>
              <w:rPr>
                <w:rStyle w:val="Hyperlink"/>
              </w:rPr>
              <w:t>Point 22 — Périmètre MVP V1</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Point 23 — Roadmap et jalons</w:t>
            </w:r>
            <w:r>
              <w:tab/>
            </w:r>
            <w:r>
              <w:fldChar w:fldCharType="begin"/>
            </w:r>
            <w:r>
              <w:instrText xml:space="preserve"> PAGEREF _Toc100034 \h </w:instrText>
            </w:r>
            <w:r>
              <w:fldChar w:fldCharType="separate"/>
            </w:r>
            <w:r>
              <w:t>10</w:t>
            </w:r>
            <w:r>
              <w:fldChar w:fldCharType="end"/>
            </w:r>
          </w:hyperlink>
        </w:p>
        <w:p>
          <w:pPr>
            <w:pStyle w:val="12"/>
            <w:ind w:left="720"/>
            <w:tabs>
              <w:tab w:val="right" w:leader="dot" w:pos="9026"/>
            </w:tabs>
            <w:spacing w:before="120" w:after="60"/>
          </w:pPr>
          <w:hyperlink w:anchor="_Toc100035" w:history="1">
            <w:r>
              <w:rPr>
                <w:rStyle w:val="Hyperlink"/>
              </w:rPr>
              <w:t>Point 24 — Critères d'acceptation</w:t>
            </w:r>
            <w:r>
              <w:tab/>
            </w:r>
            <w:r>
              <w:fldChar w:fldCharType="begin"/>
            </w:r>
            <w:r>
              <w:instrText xml:space="preserve"> PAGEREF _Toc100035 \h </w:instrText>
            </w:r>
            <w:r>
              <w:fldChar w:fldCharType="separate"/>
            </w:r>
            <w:r>
              <w:t>10</w:t>
            </w:r>
            <w:r>
              <w:fldChar w:fldCharType="end"/>
            </w:r>
          </w:hyperlink>
        </w:p>
        <w:p>
          <w:pPr>
            <w:pStyle w:val="9"/>
            <w:tabs>
              <w:tab w:val="right" w:leader="dot" w:pos="9026"/>
            </w:tabs>
            <w:spacing w:before="120" w:after="60"/>
          </w:pPr>
          <w:hyperlink w:anchor="_Toc100036" w:history="1">
            <w:r>
              <w:rPr>
                <w:rStyle w:val="Hyperlink"/>
              </w:rPr>
              <w:t>5. Accès aux données réelles : constat et options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5.1 Constat technique du 14 septembre 2026</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5.2 Trois options de collecte comparées</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5.3 Recommandation</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6. Validation et prochaines étapes</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6.1 Critères d'acceptation de la V1</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6.2 Décisions à valider par l'utilisateur</w:t>
            </w:r>
            <w:r>
              <w:tab/>
            </w:r>
            <w:r>
              <w:fldChar w:fldCharType="begin"/>
            </w:r>
            <w:r>
              <w:instrText xml:space="preserve"> PAGEREF _Toc100042 \h </w:instrText>
            </w:r>
            <w:r>
              <w:fldChar w:fldCharType="separate"/>
            </w:r>
            <w:r>
              <w:t>12</w:t>
            </w:r>
            <w:r>
              <w:fldChar w:fldCharType="end"/>
            </w:r>
          </w:hyperlink>
        </w:p>
        <w:p>
          <w:r>
            <w:fldChar w:fldCharType="end"/>
          </w:r>
        </w:p>
      </w:sdtContent>
    </w:sdt>
    <w:p>
      <w:pPr>
        <w:spacing w:before="200"/>
      </w:pPr>
      <w:r>
        <w:rPr>
          <w:rFonts w:ascii="Times New Roman" w:eastAsia="SimSun"/>
          <w:i/>
          <w:iCs/>
          <w:color w:val="888888"/>
          <w:sz w:val="18"/>
          <w:szCs w:val="18"/>
        </w:rPr>
        <w:t xml:space="preserve">Remarque : cette table des matières est générée par champ. Après toute modification du document, cliquez droit sur la table puis choisissez « Mettre à jour les champs » pour actualiser les numéros de page.</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Résumé exécutif</w:t>
      </w:r>
      <w:bookmarkEnd w:id="100000"/>
    </w:p>
    <w:p>
      <w:pPr>
        <w:spacing w:after="120" w:line="312"/>
        <w:jc w:val="both"/>
      </w:pPr>
      <w:r>
        <w:rPr>
          <w:rFonts w:ascii="Times New Roman" w:eastAsia="SimSun"/>
          <w:color w:val="000000"/>
          <w:sz w:val="24"/>
          <w:szCs w:val="24"/>
        </w:rPr>
        <w:t xml:space="preserve">Le présent document fixe le cahier des charges complet du logiciel </w:t>
      </w:r>
      <w:r>
        <w:rPr>
          <w:rFonts w:ascii="Times New Roman" w:eastAsia="SimSun"/>
          <w:b/>
          <w:bCs/>
          <w:color w:val="000000"/>
          <w:sz w:val="24"/>
          <w:szCs w:val="24"/>
        </w:rPr>
        <w:t xml:space="preserve">« Sofascore Fantasy Coach — Premier League »</w:t>
      </w:r>
      <w:r>
        <w:rPr>
          <w:rFonts w:ascii="Times New Roman" w:eastAsia="SimSun"/>
          <w:color w:val="000000"/>
          <w:sz w:val="24"/>
          <w:szCs w:val="24"/>
        </w:rPr>
        <w:t xml:space="preserve">, un assistant décisionnel privé destiné à un unique manager de la ligue Fantasy « Le fond de la classe ». Le logiciel n'est ni un jeu ni une démonstration : il se connecte aux données réelles de Sofascore — la véritable équipe de l'utilisateur, les quatre équipes rivales, le classement réel de la ligue et les statistiques réelles de Premier League — pour produire des recommandations concrètes avant chaque échéance. Vingt-quatre points de spécification, répartis en quatre groupes (fondements, fonctionnalités, données et architecture, réalisation), constituent le cœur du document.</w:t>
      </w:r>
    </w:p>
    <w:p>
      <w:pPr>
        <w:spacing w:after="120" w:line="312"/>
        <w:jc w:val="both"/>
      </w:pPr>
      <w:r>
        <w:rPr>
          <w:rFonts w:ascii="Times New Roman" w:eastAsia="SimSun"/>
          <w:color w:val="000000"/>
          <w:sz w:val="24"/>
          <w:szCs w:val="24"/>
        </w:rPr>
        <w:t xml:space="preserve">Trois constats structurants ont été vérifiés en conditions réelles. Premièrement, les règles officielles de la saison 2026/27 ont été re-sourcées directement auprès de Sofascore le 28 août et le 11 septembre 2026, ce qui corrige les approximations antérieures : la ligue fonctionne avec </w:t>
      </w:r>
      <w:r>
        <w:rPr>
          <w:rFonts w:ascii="Times New Roman" w:eastAsia="SimSun"/>
          <w:b/>
          <w:bCs/>
          <w:color w:val="000000"/>
          <w:sz w:val="24"/>
          <w:szCs w:val="24"/>
        </w:rPr>
        <w:t xml:space="preserve">2 transferts gratuits par journée</w:t>
      </w:r>
      <w:r>
        <w:rPr>
          <w:rFonts w:ascii="Times New Roman" w:eastAsia="SimSun"/>
          <w:color w:val="000000"/>
          <w:sz w:val="24"/>
          <w:szCs w:val="24"/>
        </w:rPr>
        <w:t xml:space="preserve"> (et non 5, valeur propre au Fantasy MLS), un budget de 100 M€ et un effectif de 15 joueurs. Deuxièmement, la collecte automatisée depuis un serveur est impossible : l'API interne de Sofascore est protégée par Cloudflare (erreur 403 « challenge » confirmée par tests le 14 septembre 2026), ce qui impose un connecteur local exécuté sur la machine de l'utilisateur avec sa propre session. Troisièmement, la situation sportive est serrée : avec 284 points, l'équipe de l'utilisateur occupe la 4e place à 11 points du podium et à 1 point seulement du 5e — chaque décision de journée pèse directement sur le classement.</w:t>
      </w:r>
    </w:p>
    <w:p>
      <w:pPr>
        <w:spacing w:after="120" w:line="312"/>
        <w:jc w:val="both"/>
      </w:pPr>
      <w:r>
        <w:rPr>
          <w:rFonts w:ascii="Times New Roman" w:eastAsia="SimSun"/>
          <w:color w:val="000000"/>
          <w:sz w:val="24"/>
          <w:szCs w:val="24"/>
        </w:rPr>
        <w:t xml:space="preserve">La feuille de route propose une V1 opérationnelle en quatre jalons, calée sur l'échéance de la prochaine journée, puis deux phases d'enrichissement (prédictions probabilistes puis assistant IA connecté). Quatre décisions restent à valider par l'utilisateur pour lancer le développement ; elles sont listées au chapitre 6.</w:t>
      </w:r>
    </w:p>
    <w:p>
      <w:pPr>
        <w:pStyle w:val="Heading1"/>
        <w:spacing w:after="160" w:before="360" w:line="312"/>
      </w:pPr>
      <w:bookmarkStart w:id="100001" w:name="_Toc100001"/>
      <w:r>
        <w:rPr>
          <w:rFonts w:ascii="Times New Roman" w:eastAsia="SimHei"/>
          <w:b/>
          <w:bCs/>
          <w:color w:val="1A2330"/>
          <w:sz w:val="32"/>
          <w:szCs w:val="32"/>
        </w:rPr>
        <w:t xml:space="preserve">2. Le jeu support : Sofascore Fantasy Premier League 2026/27</w:t>
      </w:r>
      <w:bookmarkEnd w:id="100001"/>
    </w:p>
    <w:p>
      <w:pPr>
        <w:spacing w:after="120" w:line="312"/>
        <w:jc w:val="both"/>
      </w:pPr>
      <w:r>
        <w:rPr>
          <w:rFonts w:ascii="Times New Roman" w:eastAsia="SimSun"/>
          <w:color w:val="000000"/>
          <w:sz w:val="24"/>
          <w:szCs w:val="24"/>
        </w:rPr>
        <w:t xml:space="preserve">Le référentiel du logiciel est exclusivement </w:t>
      </w:r>
      <w:r>
        <w:rPr>
          <w:rFonts w:ascii="Times New Roman" w:eastAsia="SimSun"/>
          <w:b/>
          <w:bCs/>
          <w:color w:val="000000"/>
          <w:sz w:val="24"/>
          <w:szCs w:val="24"/>
        </w:rPr>
        <w:t xml:space="preserve">Sofascore Fantasy</w:t>
      </w:r>
      <w:r>
        <w:rPr>
          <w:rFonts w:ascii="Times New Roman" w:eastAsia="SimSun"/>
          <w:color w:val="000000"/>
          <w:sz w:val="24"/>
          <w:szCs w:val="24"/>
        </w:rPr>
        <w:t xml:space="preserve"> — le jeu de l'application Sofascore — et non le jeu officiel « Fantasy Premier League » (FPL) hébergé sur premierleague.com, dont les règles, la devise et le barème diffèrent. Cette distinction est une exigence de première importance : les premières ébauches du projet avaient mélangé les deux référentiels, ce qui a produit des données erronées. Toutes les valeurs ci-dessous proviennent d'articles officiels Sofascore datés du 28 août 2026 (« Sofascore Fantasy 2026/27: Every Rule Change Explained ») et du 11 septembre 2026 (« Premier League Fantasy Picks: Round 4 »), ainsi que de la FAQ officielle Sofascore (sofascore.helpscoutdocs.com).</w:t>
      </w:r>
    </w:p>
    <w:p>
      <w:pPr>
        <w:pStyle w:val="Heading2"/>
        <w:spacing w:after="120" w:before="240" w:line="312"/>
      </w:pPr>
      <w:bookmarkStart w:id="100002" w:name="_Toc100002"/>
      <w:r>
        <w:rPr>
          <w:rFonts w:ascii="Times New Roman" w:eastAsia="SimHei"/>
          <w:b/>
          <w:bCs/>
          <w:color w:val="1A2330"/>
          <w:sz w:val="28"/>
          <w:szCs w:val="28"/>
        </w:rPr>
        <w:t xml:space="preserve">2.1 Règles officielles de la saison 2026/27</w:t>
      </w:r>
      <w:bookmarkEnd w:id="100002"/>
    </w:p>
    <w:p>
      <w:pPr>
        <w:keepNext/>
        <w:spacing w:after="80" w:before="160" w:line="312"/>
        <w:jc w:val="left"/>
      </w:pPr>
      <w:r>
        <w:rPr>
          <w:rFonts w:ascii="Times New Roman" w:eastAsia="SimSun"/>
          <w:b/>
          <w:bCs/>
          <w:color w:val="404040"/>
          <w:sz w:val="21"/>
          <w:szCs w:val="21"/>
        </w:rPr>
        <w:t xml:space="preserve">Tableau 1 — Règles officielles vérifiées (sources Sofascore, août-septembre 2026)</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tblGrid>
      <w:tr>
        <w:trPr>
          <w:cantSplit/>
          <w:tblHeader/>
        </w:trPr>
        <w:tc>
          <w:tcPr>
            <w:tcW w:type="pct" w:w="3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Élément</w:t>
            </w:r>
          </w:p>
        </w:tc>
        <w:tc>
          <w:tcPr>
            <w:tcW w:type="pct" w:w="7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Règle officielle 2026/27</w:t>
            </w:r>
          </w:p>
        </w:tc>
      </w:tr>
      <w:tr>
        <w:trPr>
          <w:cantSplit/>
        </w:trPr>
        <w:tc>
          <w:tcPr>
            <w:tcW w:type="pct" w:w="3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Budget</w:t>
            </w:r>
          </w:p>
        </w:tc>
        <w:tc>
          <w:tcPr>
            <w:tcW w:type="pct" w:w="7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100 M€ pour construire l'effectif</w:t>
            </w:r>
          </w:p>
        </w:tc>
      </w:tr>
      <w:tr>
        <w:trPr>
          <w:cantSplit/>
        </w:trPr>
        <w:tc>
          <w:tcPr>
            <w:tcW w:type="pct" w:w="3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Effectif</w:t>
            </w:r>
          </w:p>
        </w:tc>
        <w:tc>
          <w:tcPr>
            <w:tcW w:type="pct" w:w="7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15 joueurs : 2 gardiens, 5 défenseurs, 5 milieux, 3 attaquants</w:t>
            </w:r>
          </w:p>
        </w:tc>
      </w:tr>
      <w:tr>
        <w:trPr>
          <w:cantSplit/>
        </w:trPr>
        <w:tc>
          <w:tcPr>
            <w:tcW w:type="pct" w:w="3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Transferts gratuits</w:t>
            </w:r>
          </w:p>
        </w:tc>
        <w:tc>
          <w:tcPr>
            <w:tcW w:type="pct" w:w="7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 par journée (doublés par rapport à 1 en 2025/26) ; report cumulable jusqu'à 5 maximum</w:t>
            </w:r>
          </w:p>
        </w:tc>
      </w:tr>
      <w:tr>
        <w:trPr>
          <w:cantSplit/>
        </w:trPr>
        <w:tc>
          <w:tcPr>
            <w:tcW w:type="pct" w:w="3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Transfert supplémentaire</w:t>
            </w:r>
          </w:p>
        </w:tc>
        <w:tc>
          <w:tcPr>
            <w:tcW w:type="pct" w:w="7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-5 points par mouvement au-delà des gratuits</w:t>
            </w:r>
          </w:p>
        </w:tc>
      </w:tr>
      <w:tr>
        <w:trPr>
          <w:cantSplit/>
        </w:trPr>
        <w:tc>
          <w:tcPr>
            <w:tcW w:type="pct" w:w="3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Token Triple Captain</w:t>
            </w:r>
          </w:p>
        </w:tc>
        <w:tc>
          <w:tcPr>
            <w:tcW w:type="pct" w:w="7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Le capitaine rapporte x3 au lieu de x2 ; 1 usage par saison</w:t>
            </w:r>
          </w:p>
        </w:tc>
      </w:tr>
      <w:tr>
        <w:trPr>
          <w:cantSplit/>
        </w:trPr>
        <w:tc>
          <w:tcPr>
            <w:tcW w:type="pct" w:w="3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Token Quick Fix</w:t>
            </w:r>
          </w:p>
        </w:tc>
        <w:tc>
          <w:tcPr>
            <w:tcW w:type="pct" w:w="7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Transferts illimités pour une journée, puis annulation ; 2 usages par saison (hausse officielle 2026/27)</w:t>
            </w:r>
          </w:p>
        </w:tc>
      </w:tr>
      <w:tr>
        <w:trPr>
          <w:cantSplit/>
        </w:trPr>
        <w:tc>
          <w:tcPr>
            <w:tcW w:type="pct" w:w="3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Token Rebuild Squad</w:t>
            </w:r>
          </w:p>
        </w:tc>
        <w:tc>
          <w:tcPr>
            <w:tcW w:type="pct" w:w="7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Transferts illimités avec conservation du nouveau squad ; 2 usages par saison, une par moitié</w:t>
            </w:r>
          </w:p>
        </w:tc>
      </w:tr>
      <w:tr>
        <w:trPr>
          <w:cantSplit/>
        </w:trPr>
        <w:tc>
          <w:tcPr>
            <w:tcW w:type="pct" w:w="3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Limite de tokens</w:t>
            </w:r>
          </w:p>
        </w:tc>
        <w:tc>
          <w:tcPr>
            <w:tcW w:type="pct" w:w="7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 token maximum par journée</w:t>
            </w:r>
          </w:p>
        </w:tc>
      </w:tr>
      <w:tr>
        <w:trPr>
          <w:cantSplit/>
        </w:trPr>
        <w:tc>
          <w:tcPr>
            <w:tcW w:type="pct" w:w="3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Barème de points</w:t>
            </w:r>
          </w:p>
        </w:tc>
        <w:tc>
          <w:tcPr>
            <w:tcW w:type="pct" w:w="7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Basé sur les ratings Sofascore et plus de 30 catégories statistiques réelles</w:t>
            </w:r>
          </w:p>
        </w:tc>
      </w:tr>
      <w:tr>
        <w:trPr>
          <w:cantSplit/>
        </w:trPr>
        <w:tc>
          <w:tcPr>
            <w:tcW w:type="pct" w:w="3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Spécificité des journées</w:t>
            </w:r>
          </w:p>
        </w:tc>
        <w:tc>
          <w:tcPr>
            <w:tcW w:type="pct" w:w="7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Les journées Fantasy regroupent les matchs par date et peuvent différer des rondes des autres plateformes</w:t>
            </w:r>
          </w:p>
        </w:tc>
      </w:tr>
    </w:tbl>
    <w:p>
      <w:pPr>
        <w:pStyle w:val="Heading2"/>
        <w:spacing w:after="120" w:before="240" w:line="312"/>
      </w:pPr>
      <w:bookmarkStart w:id="100003" w:name="_Toc100003"/>
      <w:r>
        <w:rPr>
          <w:rFonts w:ascii="Times New Roman" w:eastAsia="SimHei"/>
          <w:b/>
          <w:bCs/>
          <w:color w:val="1A2330"/>
          <w:sz w:val="28"/>
          <w:szCs w:val="28"/>
        </w:rPr>
        <w:t xml:space="preserve">2.2 Ce qui change en 2026/27 et pourquoi cela compte</w:t>
      </w:r>
      <w:bookmarkEnd w:id="100003"/>
    </w:p>
    <w:p>
      <w:pPr>
        <w:spacing w:after="120" w:line="312"/>
        <w:jc w:val="both"/>
      </w:pPr>
      <w:r>
        <w:rPr>
          <w:rFonts w:ascii="Times New Roman" w:eastAsia="SimSun"/>
          <w:color w:val="000000"/>
          <w:sz w:val="24"/>
          <w:szCs w:val="24"/>
        </w:rPr>
        <w:t xml:space="preserve">La saison 2026/27 n'est pas une simple reprise : Sofascore parle d'une « véritable refonte ». Les dégagements marquent désormais des points (6 dégagements = 1 point, puis 1 point supplémentaire par tranche de 6), ce qui récompense les défenseurs qui multiplient les interventions propres. À l'inverse, </w:t>
      </w:r>
      <w:r>
        <w:rPr>
          <w:rFonts w:ascii="Times New Roman" w:eastAsia="SimSun"/>
          <w:b/>
          <w:bCs/>
          <w:color w:val="000000"/>
          <w:sz w:val="24"/>
          <w:szCs w:val="24"/>
        </w:rPr>
        <w:t xml:space="preserve">les passes ne rapportent plus rien aux défenseurs</w:t>
      </w:r>
      <w:r>
        <w:rPr>
          <w:rFonts w:ascii="Times New Roman" w:eastAsia="SimSun"/>
          <w:color w:val="000000"/>
          <w:sz w:val="24"/>
          <w:szCs w:val="24"/>
        </w:rPr>
        <w:t xml:space="preserve"> : un arrière latéral qui monopolise le ballon sans trancher ne nourrit plus son score. Les dribbles ont été durcis (3 dribbles = 1 point, contre 1 dribble par point auparavant), la pénalité de perte de balle ne se déclenche qu'à partir de la 4e perte, et les seuils gardiens pour les sorties et reprises aériennes passent à 3. Ensemble, ces ajustements déplacent la valeur des effectifs vers le rendement concret et la substance défensive, au détriment des statistiques de volume.</w:t>
      </w:r>
    </w:p>
    <w:p>
      <w:pPr>
        <w:spacing w:after="120" w:line="312"/>
        <w:jc w:val="both"/>
      </w:pPr>
      <w:r>
        <w:rPr>
          <w:rFonts w:ascii="Times New Roman" w:eastAsia="SimSun"/>
          <w:color w:val="000000"/>
          <w:sz w:val="24"/>
          <w:szCs w:val="24"/>
        </w:rPr>
        <w:t xml:space="preserve">Côté gestion, le passage de 1 à 2 transferts gratuits par journée, cumulables jusqu'à 5, donne une vraie marge de manœuvre pour absorber une cascade de matchs ou une vague de blessures sans pénalité. Le doublement du token Quick Fix (désormais 2 par saison, aligné sur Rebuild Squad) réduit le coût d'une journée ratée. Le logiciel doit intégrer ces règles dans ses moteurs : par exemple, le module « Mon équipe » alerte quand le cumul de transferts atteint le plafond de 5, et le module de prédiction pondère les joueurs défensifs selon le nouveau barème. Les valeurs du marché réel de la journée 4 (Haaland 12 M€ détenu par 75,5 % des managers, João Pedro 7,9 M€ à 38,2 %, Raya 6,6 M€ à 28,8 %, Ben White 5,2 M€ à 4,5 %) serviront de données d'amorçage vérifiées pour la base joueurs.</w:t>
      </w:r>
    </w:p>
    <w:p>
      <w:pPr>
        <w:pStyle w:val="Heading1"/>
        <w:spacing w:after="160" w:before="360" w:line="312"/>
      </w:pPr>
      <w:bookmarkStart w:id="100004" w:name="_Toc100004"/>
      <w:r>
        <w:rPr>
          <w:rFonts w:ascii="Times New Roman" w:eastAsia="SimHei"/>
          <w:b/>
          <w:bCs/>
          <w:color w:val="1A2330"/>
          <w:sz w:val="32"/>
          <w:szCs w:val="32"/>
        </w:rPr>
        <w:t xml:space="preserve">3. La ligue cible : « Le fond de la classe »</w:t>
      </w:r>
      <w:bookmarkEnd w:id="100004"/>
    </w:p>
    <w:p>
      <w:pPr>
        <w:spacing w:after="120" w:line="312"/>
        <w:jc w:val="both"/>
      </w:pPr>
      <w:r>
        <w:rPr>
          <w:rFonts w:ascii="Times New Roman" w:eastAsia="SimSun"/>
          <w:color w:val="000000"/>
          <w:sz w:val="24"/>
          <w:szCs w:val="24"/>
        </w:rPr>
        <w:t xml:space="preserve">La ligue privée cible compte </w:t>
      </w:r>
      <w:r>
        <w:rPr>
          <w:rFonts w:ascii="Times New Roman" w:eastAsia="SimSun"/>
          <w:b/>
          <w:bCs/>
          <w:color w:val="000000"/>
          <w:sz w:val="24"/>
          <w:szCs w:val="24"/>
        </w:rPr>
        <w:t xml:space="preserve">5 managers</w:t>
      </w:r>
      <w:r>
        <w:rPr>
          <w:rFonts w:ascii="Times New Roman" w:eastAsia="SimSun"/>
          <w:color w:val="000000"/>
          <w:sz w:val="24"/>
          <w:szCs w:val="24"/>
        </w:rPr>
        <w:t xml:space="preserve"> et joue la saison 2026/27 de Sofascore Fantasy Premier League. Les données ci-dessous proviennent de la capture d'écran de l'application fournie par l'utilisateur le 13 septembre 2026 à 21 h 22 (dernière mise à jour de la ligue : 21 h 02), soit après la clôture de la journée 4. Ce tableau constitue l'état de référence : le logiciel doit retrouver exactement ces valeurs à chaque synchronisation.</w:t>
      </w:r>
    </w:p>
    <w:p>
      <w:pPr>
        <w:pStyle w:val="Heading2"/>
        <w:spacing w:after="120" w:before="240" w:line="312"/>
      </w:pPr>
      <w:bookmarkStart w:id="100005" w:name="_Toc100005"/>
      <w:r>
        <w:rPr>
          <w:rFonts w:ascii="Times New Roman" w:eastAsia="SimHei"/>
          <w:b/>
          <w:bCs/>
          <w:color w:val="1A2330"/>
          <w:sz w:val="28"/>
          <w:szCs w:val="28"/>
        </w:rPr>
        <w:t xml:space="preserve">3.1 Classement réel au 13 septembre 2026</w:t>
      </w:r>
      <w:bookmarkEnd w:id="100005"/>
    </w:p>
    <w:p>
      <w:pPr>
        <w:keepNext/>
        <w:spacing w:after="80" w:before="160" w:line="312"/>
        <w:jc w:val="left"/>
      </w:pPr>
      <w:r>
        <w:rPr>
          <w:rFonts w:ascii="Times New Roman" w:eastAsia="SimSun"/>
          <w:b/>
          <w:bCs/>
          <w:color w:val="404040"/>
          <w:sz w:val="21"/>
          <w:szCs w:val="21"/>
        </w:rPr>
        <w:t xml:space="preserve">Tableau 2 — Classement de la ligue après la journée 4 (source : capture utilisateur, 13/09/2026)</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gridCol w:w="100"/>
        <w:gridCol w:w="100"/>
        <w:gridCol w:w="100"/>
      </w:tblGrid>
      <w:tr>
        <w:trPr>
          <w:cantSplit/>
          <w:tblHeader/>
        </w:trPr>
        <w:tc>
          <w:tcPr>
            <w:tcW w:type="pct" w:w="1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Rang</w:t>
            </w:r>
          </w:p>
        </w:tc>
        <w:tc>
          <w:tcPr>
            <w:tcW w:type="pct" w:w="26%"/>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Équipe</w:t>
            </w:r>
          </w:p>
        </w:tc>
        <w:tc>
          <w:tcPr>
            <w:tcW w:type="pct" w:w="18%"/>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Manager</w:t>
            </w:r>
          </w:p>
        </w:tc>
        <w:tc>
          <w:tcPr>
            <w:tcW w:type="pct" w:w="1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Pts J4</w:t>
            </w:r>
          </w:p>
        </w:tc>
        <w:tc>
          <w:tcPr>
            <w:tcW w:type="pct" w:w="1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Total</w:t>
            </w:r>
          </w:p>
        </w:tc>
        <w:tc>
          <w:tcPr>
            <w:tcW w:type="pct" w:w="26%"/>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Tendance</w:t>
            </w:r>
          </w:p>
        </w:tc>
      </w:tr>
      <w:tr>
        <w:trPr>
          <w:cantSplit/>
        </w:trPr>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1er</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nik Leroy</w:t>
            </w:r>
          </w:p>
        </w:tc>
        <w:tc>
          <w:tcPr>
            <w:tcW w:type="pct" w:w="1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nik Leroy</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108</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333</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 — badge « Top manager »</w:t>
            </w:r>
          </w:p>
        </w:tc>
      </w:tr>
      <w:tr>
        <w:trPr>
          <w:cantSplit/>
        </w:trPr>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2e</w:t>
            </w:r>
          </w:p>
        </w:tc>
        <w:tc>
          <w:tcPr>
            <w:tcW w:type="pct" w:w="26%"/>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Donatien Lokossou530</w:t>
            </w:r>
          </w:p>
        </w:tc>
        <w:tc>
          <w:tcPr>
            <w:tcW w:type="pct" w:w="18%"/>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Donatien_10</w:t>
            </w:r>
          </w:p>
        </w:tc>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83</w:t>
            </w:r>
          </w:p>
        </w:tc>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318</w:t>
            </w:r>
          </w:p>
        </w:tc>
        <w:tc>
          <w:tcPr>
            <w:tcW w:type="pct" w:w="26%"/>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w:t>
            </w:r>
          </w:p>
        </w:tc>
      </w:tr>
      <w:tr>
        <w:trPr>
          <w:cantSplit/>
        </w:trPr>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3e</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Aziza FC</w:t>
            </w:r>
          </w:p>
        </w:tc>
        <w:tc>
          <w:tcPr>
            <w:tcW w:type="pct" w:w="1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Nadjib Américo</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65</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295</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w:t>
            </w:r>
          </w:p>
        </w:tc>
      </w:tr>
      <w:tr>
        <w:trPr>
          <w:cantSplit/>
        </w:trPr>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4e</w:t>
            </w:r>
          </w:p>
        </w:tc>
        <w:tc>
          <w:tcPr>
            <w:tcW w:type="pct" w:w="26%"/>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Vital_GDB (équipe de l'utilisateur)</w:t>
            </w:r>
          </w:p>
        </w:tc>
        <w:tc>
          <w:tcPr>
            <w:tcW w:type="pct" w:w="18%"/>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Vital_GDB</w:t>
            </w:r>
          </w:p>
        </w:tc>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71</w:t>
            </w:r>
          </w:p>
        </w:tc>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284</w:t>
            </w:r>
          </w:p>
        </w:tc>
        <w:tc>
          <w:tcPr>
            <w:tcW w:type="pct" w:w="26%"/>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Équipe surlignée dans l'application</w:t>
            </w:r>
          </w:p>
        </w:tc>
      </w:tr>
      <w:tr>
        <w:trPr>
          <w:cantSplit/>
        </w:trPr>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5e</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Zarés JR</w:t>
            </w:r>
          </w:p>
        </w:tc>
        <w:tc>
          <w:tcPr>
            <w:tcW w:type="pct" w:w="1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Zarés Junior</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78</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283</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À 1 point de la 4e place</w:t>
            </w:r>
          </w:p>
        </w:tc>
      </w:tr>
    </w:tbl>
    <w:p>
      <w:pPr>
        <w:keepNext/>
        <w:spacing w:after="120" w:line="312"/>
        <w:jc w:val="both"/>
      </w:pPr>
      <w:r>
        <w:rPr>
          <w:rFonts w:ascii="Times New Roman" w:eastAsia="SimSun"/>
          <w:color w:val="000000"/>
          <w:sz w:val="24"/>
          <w:szCs w:val="24"/>
        </w:rPr>
        <w:t xml:space="preserve">La figure suivante visualise l'écart de points totaux après quatre journées, avec en surimpression les points marqués lors de la journée 4. Elle met en évidence la double dynamique de la ligue : une tête de course distendue et un milieu de table d'une densité extrême.</w:t>
      </w:r>
    </w:p>
    <w:p>
      <w:pPr>
        <w:spacing w:after="60" w:before="8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line="312"/>
        <w:jc w:val="center"/>
      </w:pPr>
      <w:r>
        <w:rPr>
          <w:rFonts w:ascii="Times New Roman" w:eastAsia="SimSun"/>
          <w:color w:val="404040"/>
          <w:sz w:val="21"/>
          <w:szCs w:val="21"/>
        </w:rPr>
        <w:t xml:space="preserve">Figure 1 — Totals après 4 journées et points de la journée 4 (données réelles)</w:t>
      </w:r>
    </w:p>
    <w:p>
      <w:pPr>
        <w:pStyle w:val="Heading2"/>
        <w:spacing w:after="120" w:before="240" w:line="312"/>
      </w:pPr>
      <w:bookmarkStart w:id="100006" w:name="_Toc100006"/>
      <w:r>
        <w:rPr>
          <w:rFonts w:ascii="Times New Roman" w:eastAsia="SimHei"/>
          <w:b/>
          <w:bCs/>
          <w:color w:val="1A2330"/>
          <w:sz w:val="28"/>
          <w:szCs w:val="28"/>
        </w:rPr>
        <w:t xml:space="preserve">3.2 Lecture tactique de départ</w:t>
      </w:r>
      <w:bookmarkEnd w:id="100006"/>
    </w:p>
    <w:p>
      <w:pPr>
        <w:spacing w:after="120" w:line="312"/>
        <w:jc w:val="both"/>
      </w:pPr>
      <w:r>
        <w:rPr>
          <w:rFonts w:ascii="Times New Roman" w:eastAsia="SimSun"/>
          <w:color w:val="000000"/>
          <w:sz w:val="24"/>
          <w:szCs w:val="24"/>
        </w:rPr>
        <w:t xml:space="preserve">Trois enseignements commandent la stratégie du logiciel. D'abord, l'écart avec le leader est substantiel : </w:t>
      </w:r>
      <w:r>
        <w:rPr>
          <w:rFonts w:ascii="Times New Roman" w:eastAsia="SimSun"/>
          <w:b/>
          <w:bCs/>
          <w:color w:val="000000"/>
          <w:sz w:val="24"/>
          <w:szCs w:val="24"/>
        </w:rPr>
        <w:t xml:space="preserve">nik Leroy cumule 333 points, soit 49 de mieux que Vital_GDB</w:t>
      </w:r>
      <w:r>
        <w:rPr>
          <w:rFonts w:ascii="Times New Roman" w:eastAsia="SimSun"/>
          <w:color w:val="000000"/>
          <w:sz w:val="24"/>
          <w:szCs w:val="24"/>
        </w:rPr>
        <w:t xml:space="preserve">, et a signé une journée 4 monstrueuse (108 points) qu'il faudra décortiquer dans le War Room — un tel total suggère un capitaine doublement payé (Triple Captain) ou un alignement exceptionnel, informations décisives pour anticiper ses prochains coups. Ensuite, le vrai combat de l'utilisateur est le podium : la 3e place (Aziza FC, 295 points) se situe à 11 points, distance rattrapable en deux ou trois bonnes journées. Enfin, la pression vient de derrière : Zarés JR n'est qu'à 1 point, ce qui interdit toute prise de risque inconsidérée — le logiciel devra arbitrer explicitement entre posture de chasseur (podium) et posture de défense (5e place).</w:t>
      </w:r>
    </w:p>
    <w:p>
      <w:pPr>
        <w:spacing w:after="120" w:line="312"/>
        <w:jc w:val="both"/>
      </w:pPr>
      <w:r>
        <w:rPr>
          <w:rFonts w:ascii="Times New Roman" w:eastAsia="SimSun"/>
          <w:color w:val="000000"/>
          <w:sz w:val="24"/>
          <w:szCs w:val="24"/>
        </w:rPr>
        <w:t xml:space="preserve">Le marché offre déjà des leviers concrets, documentés par les choix officiels de Sofascore pour la journée 4. Le tableau suivant retient les valeurs réelles publiées le 11 septembre 2026 : prix, pourcentage de possession dans le jeu et lecture. Ces données servent d'étalon initial au module Analyse joueurs ; elles seront rafraîchies à chaque synchronisation.</w:t>
      </w:r>
    </w:p>
    <w:p>
      <w:pPr>
        <w:keepNext/>
        <w:spacing w:after="80" w:before="160" w:line="312"/>
        <w:jc w:val="left"/>
      </w:pPr>
      <w:r>
        <w:rPr>
          <w:rFonts w:ascii="Times New Roman" w:eastAsia="SimSun"/>
          <w:b/>
          <w:bCs/>
          <w:color w:val="404040"/>
          <w:sz w:val="21"/>
          <w:szCs w:val="21"/>
        </w:rPr>
        <w:t xml:space="preserve">Tableau 3 — Valeurs réelles du marché à la journée 4 (source : picks officiels Sofascore, 11/09/2026)</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gridCol w:w="100"/>
        <w:gridCol w:w="100"/>
      </w:tblGrid>
      <w:tr>
        <w:trPr>
          <w:cantSplit/>
          <w:tblHeader/>
        </w:trPr>
        <w:tc>
          <w:tcPr>
            <w:tcW w:type="pct" w:w="2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Joueur</w:t>
            </w:r>
          </w:p>
        </w:tc>
        <w:tc>
          <w:tcPr>
            <w:tcW w:type="pct" w:w="2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Équipe</w:t>
            </w:r>
          </w:p>
        </w:tc>
        <w:tc>
          <w:tcPr>
            <w:tcW w:type="pct" w:w="1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Prix</w:t>
            </w:r>
          </w:p>
        </w:tc>
        <w:tc>
          <w:tcPr>
            <w:tcW w:type="pct" w:w="13%"/>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Possession</w:t>
            </w:r>
          </w:p>
        </w:tc>
        <w:tc>
          <w:tcPr>
            <w:tcW w:type="pct" w:w="37%"/>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Lecture officielle</w:t>
            </w:r>
          </w:p>
        </w:tc>
      </w:tr>
      <w:tr>
        <w:trPr>
          <w:cantSplit/>
        </w:trPr>
        <w:tc>
          <w:tcPr>
            <w:tcW w:type="pct" w:w="2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Erling Haaland</w:t>
            </w:r>
          </w:p>
        </w:tc>
        <w:tc>
          <w:tcPr>
            <w:tcW w:type="pct" w:w="2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Manchester City</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12,0 M€</w:t>
            </w:r>
          </w:p>
        </w:tc>
        <w:tc>
          <w:tcPr>
            <w:tcW w:type="pct" w:w="13%"/>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75,5 %</w:t>
            </w:r>
          </w:p>
        </w:tc>
        <w:tc>
          <w:tcPr>
            <w:tcW w:type="pct" w:w="37%"/>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Le plus cher et le plus détenu du jeu</w:t>
            </w:r>
          </w:p>
        </w:tc>
      </w:tr>
      <w:tr>
        <w:trPr>
          <w:cantSplit/>
        </w:trPr>
        <w:tc>
          <w:tcPr>
            <w:tcW w:type="pct" w:w="2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João Pedro</w:t>
            </w:r>
          </w:p>
        </w:tc>
        <w:tc>
          <w:tcPr>
            <w:tcW w:type="pct" w:w="2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Chelsea</w:t>
            </w:r>
          </w:p>
        </w:tc>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7,9 M€</w:t>
            </w:r>
          </w:p>
        </w:tc>
        <w:tc>
          <w:tcPr>
            <w:tcW w:type="pct" w:w="13%"/>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38,2 %</w:t>
            </w:r>
          </w:p>
        </w:tc>
        <w:tc>
          <w:tcPr>
            <w:tcW w:type="pct" w:w="37%"/>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L'attaquant en forme de toute la division</w:t>
            </w:r>
          </w:p>
        </w:tc>
      </w:tr>
      <w:tr>
        <w:trPr>
          <w:cantSplit/>
        </w:trPr>
        <w:tc>
          <w:tcPr>
            <w:tcW w:type="pct" w:w="2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David Raya</w:t>
            </w:r>
          </w:p>
        </w:tc>
        <w:tc>
          <w:tcPr>
            <w:tcW w:type="pct" w:w="2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Arsenal</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6,6 M€</w:t>
            </w:r>
          </w:p>
        </w:tc>
        <w:tc>
          <w:tcPr>
            <w:tcW w:type="pct" w:w="13%"/>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28,8 %</w:t>
            </w:r>
          </w:p>
        </w:tc>
        <w:tc>
          <w:tcPr>
            <w:tcW w:type="pct" w:w="37%"/>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Gardien le plus sélectionné, calendrier favorable</w:t>
            </w:r>
          </w:p>
        </w:tc>
      </w:tr>
      <w:tr>
        <w:trPr>
          <w:cantSplit/>
        </w:trPr>
        <w:tc>
          <w:tcPr>
            <w:tcW w:type="pct" w:w="2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Dominik Szoboszlai</w:t>
            </w:r>
          </w:p>
        </w:tc>
        <w:tc>
          <w:tcPr>
            <w:tcW w:type="pct" w:w="2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Liverpool</w:t>
            </w:r>
          </w:p>
        </w:tc>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8,0 M€</w:t>
            </w:r>
          </w:p>
        </w:tc>
        <w:tc>
          <w:tcPr>
            <w:tcW w:type="pct" w:w="13%"/>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21,6 %</w:t>
            </w:r>
          </w:p>
        </w:tc>
        <w:tc>
          <w:tcPr>
            <w:tcW w:type="pct" w:w="37%"/>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Source de points régulière, réception de Fulham</w:t>
            </w:r>
          </w:p>
        </w:tc>
      </w:tr>
      <w:tr>
        <w:trPr>
          <w:cantSplit/>
        </w:trPr>
        <w:tc>
          <w:tcPr>
            <w:tcW w:type="pct" w:w="2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Morgan Rogers</w:t>
            </w:r>
          </w:p>
        </w:tc>
        <w:tc>
          <w:tcPr>
            <w:tcW w:type="pct" w:w="2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Chelsea</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7,4 M€</w:t>
            </w:r>
          </w:p>
        </w:tc>
        <w:tc>
          <w:tcPr>
            <w:tcW w:type="pct" w:w="13%"/>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16,0 %</w:t>
            </w:r>
          </w:p>
        </w:tc>
        <w:tc>
          <w:tcPr>
            <w:tcW w:type="pct" w:w="37%"/>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Implication directe dans les buts depuis son transfert</w:t>
            </w:r>
          </w:p>
        </w:tc>
      </w:tr>
      <w:tr>
        <w:trPr>
          <w:cantSplit/>
        </w:trPr>
        <w:tc>
          <w:tcPr>
            <w:tcW w:type="pct" w:w="2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Joško Gvardiol</w:t>
            </w:r>
          </w:p>
        </w:tc>
        <w:tc>
          <w:tcPr>
            <w:tcW w:type="pct" w:w="2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Manchester City</w:t>
            </w:r>
          </w:p>
        </w:tc>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6,8 M€</w:t>
            </w:r>
          </w:p>
        </w:tc>
        <w:tc>
          <w:tcPr>
            <w:tcW w:type="pct" w:w="13%"/>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17,4 %</w:t>
            </w:r>
          </w:p>
        </w:tc>
        <w:tc>
          <w:tcPr>
            <w:tcW w:type="pct" w:w="37%"/>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Défenseur en forme, menace offensive ajoutée</w:t>
            </w:r>
          </w:p>
        </w:tc>
      </w:tr>
      <w:tr>
        <w:trPr>
          <w:cantSplit/>
        </w:trPr>
        <w:tc>
          <w:tcPr>
            <w:tcW w:type="pct" w:w="2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Cody Gakpo</w:t>
            </w:r>
          </w:p>
        </w:tc>
        <w:tc>
          <w:tcPr>
            <w:tcW w:type="pct" w:w="2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Liverpool</w:t>
            </w:r>
          </w:p>
        </w:tc>
        <w:tc>
          <w:tcPr>
            <w:tcW w:type="pct" w:w="1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7,7 M€</w:t>
            </w:r>
          </w:p>
        </w:tc>
        <w:tc>
          <w:tcPr>
            <w:tcW w:type="pct" w:w="13%"/>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6,4 %</w:t>
            </w:r>
          </w:p>
        </w:tc>
        <w:tc>
          <w:tcPr>
            <w:tcW w:type="pct" w:w="37%"/>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Parmi les joueurs en forme du mois — profil différentiel</w:t>
            </w:r>
          </w:p>
        </w:tc>
      </w:tr>
      <w:tr>
        <w:trPr>
          <w:cantSplit/>
        </w:trPr>
        <w:tc>
          <w:tcPr>
            <w:tcW w:type="pct" w:w="2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Ben White</w:t>
            </w:r>
          </w:p>
        </w:tc>
        <w:tc>
          <w:tcPr>
            <w:tcW w:type="pct" w:w="2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Arsenal</w:t>
            </w:r>
          </w:p>
        </w:tc>
        <w:tc>
          <w:tcPr>
            <w:tcW w:type="pct" w:w="1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5,2 M€</w:t>
            </w:r>
          </w:p>
        </w:tc>
        <w:tc>
          <w:tcPr>
            <w:tcW w:type="pct" w:w="13%"/>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4,5 %</w:t>
            </w:r>
          </w:p>
        </w:tc>
        <w:tc>
          <w:tcPr>
            <w:tcW w:type="pct" w:w="37%"/>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Meilleur rapport qualité/prix défensif actuel</w:t>
            </w:r>
          </w:p>
        </w:tc>
      </w:tr>
    </w:tbl>
    <w:p>
      <w:pPr>
        <w:pStyle w:val="Heading1"/>
        <w:spacing w:after="160" w:before="360" w:line="312"/>
      </w:pPr>
      <w:bookmarkStart w:id="100007" w:name="_Toc100007"/>
      <w:r>
        <w:rPr>
          <w:rFonts w:ascii="Times New Roman" w:eastAsia="SimHei"/>
          <w:b/>
          <w:bCs/>
          <w:color w:val="1A2330"/>
          <w:sz w:val="32"/>
          <w:szCs w:val="32"/>
        </w:rPr>
        <w:t xml:space="preserve">4. Cahier des charges : les 24 points</w:t>
      </w:r>
      <w:bookmarkEnd w:id="100007"/>
    </w:p>
    <w:p>
      <w:pPr>
        <w:keepNext w:val="false"/>
        <w:spacing w:after="120" w:line="312"/>
        <w:jc w:val="both"/>
      </w:pPr>
      <w:r>
        <w:rPr>
          <w:rFonts w:ascii="Times New Roman" w:eastAsia="SimSun"/>
          <w:color w:val="000000"/>
          <w:sz w:val="24"/>
          <w:szCs w:val="24"/>
        </w:rPr>
        <w:t xml:space="preserve">Les vingt-quatre points qui suivent constituent la spécification de référence du logiciel. Ils sont répartis en quatre groupes : fondements du projet (points 1 à 6), fonctionnalités (points 7 à 14), données réelles et architecture (points 15 à 21), réalisation (points 22 à 24). Chaque point est rédigé pour être vérifiable : une exigence floue doit être renvoyée pour clarification avant le développement.</w:t>
      </w:r>
    </w:p>
    <w:p>
      <w:pPr>
        <w:pStyle w:val="Heading2"/>
        <w:spacing w:after="120" w:before="240" w:line="312"/>
      </w:pPr>
      <w:bookmarkStart w:id="100008" w:name="_Toc100008"/>
      <w:r>
        <w:rPr>
          <w:rFonts w:ascii="Times New Roman" w:eastAsia="SimHei"/>
          <w:b/>
          <w:bCs/>
          <w:color w:val="1A2330"/>
          <w:sz w:val="28"/>
          <w:szCs w:val="28"/>
        </w:rPr>
        <w:t xml:space="preserve">Groupe A — Fondements du projet (points 1 à 6)</w:t>
      </w:r>
      <w:bookmarkEnd w:id="100008"/>
    </w:p>
    <w:p>
      <w:pPr>
        <w:pStyle w:val="Heading3"/>
        <w:spacing w:after="100" w:before="200" w:line="312"/>
      </w:pPr>
      <w:bookmarkStart w:id="100009" w:name="_Toc100009"/>
      <w:r>
        <w:rPr>
          <w:rFonts w:ascii="Times New Roman" w:eastAsia="SimHei"/>
          <w:b/>
          <w:bCs/>
          <w:color w:val="1A2330"/>
          <w:sz w:val="24"/>
          <w:szCs w:val="24"/>
        </w:rPr>
        <w:t xml:space="preserve">Point 1 — Nom et identité du logiciel</w:t>
      </w:r>
      <w:bookmarkEnd w:id="100009"/>
    </w:p>
    <w:p>
      <w:pPr>
        <w:keepNext w:val="false"/>
        <w:spacing w:after="120" w:line="312"/>
        <w:jc w:val="both"/>
      </w:pPr>
      <w:r>
        <w:rPr>
          <w:rFonts w:ascii="Times New Roman" w:eastAsia="SimSun"/>
          <w:color w:val="000000"/>
          <w:sz w:val="24"/>
          <w:szCs w:val="24"/>
        </w:rPr>
        <w:t xml:space="preserve">Le nom officiel est « Sofascore Fantasy Coach — Premier League », abrégé « SFC » dans l'interface. L'identité est celle d'un outil de coaching strictement privé : ton direct, ton factuel, zéro dimension ludique ou démonstrative. L'habillage visuel reprend les codes d'un tableau de bord analytique sobre, sans références au jeu lui-même au-delà des données affichées. Le nom complet figure sur la couverture, l'en-tête et l'écran d'accueil ; l'abréviation SFC est réservée aux espaces réduits (onglets, alertes, pied de page).</w:t>
      </w:r>
    </w:p>
    <w:p>
      <w:pPr>
        <w:pStyle w:val="Heading3"/>
        <w:spacing w:after="100" w:before="200" w:line="312"/>
      </w:pPr>
      <w:bookmarkStart w:id="100010" w:name="_Toc100010"/>
      <w:r>
        <w:rPr>
          <w:rFonts w:ascii="Times New Roman" w:eastAsia="SimHei"/>
          <w:b/>
          <w:bCs/>
          <w:color w:val="1A2330"/>
          <w:sz w:val="24"/>
          <w:szCs w:val="24"/>
        </w:rPr>
        <w:t xml:space="preserve">Point 2 — Vision et finalité</w:t>
      </w:r>
      <w:bookmarkEnd w:id="100010"/>
    </w:p>
    <w:p>
      <w:pPr>
        <w:keepNext w:val="false"/>
        <w:spacing w:after="120" w:line="312"/>
        <w:jc w:val="both"/>
      </w:pPr>
      <w:r>
        <w:rPr>
          <w:rFonts w:ascii="Times New Roman" w:eastAsia="SimSun"/>
          <w:color w:val="000000"/>
          <w:sz w:val="24"/>
          <w:szCs w:val="24"/>
        </w:rPr>
        <w:t xml:space="preserve">La finalité du logiciel est de transformer les données réelles de Sofascore en décisions qui font gagner des points dans la ligue « Le fond de la classe » : compositions, choix de capitaine, transferts, tokens et arbitrages défensifs. Chaque fonctionnalité doit pouvoir être rattachée à un gain de points espéré ou à une réduction de risque mesurable — toute fonctionnalité qui ne satisfait pas ce test est écartée du périmètre. Le succès se mesure à une seule aiguille : la position au classement réel de la ligue, arrêtée à la 4e place (284 points) au 13 septembre 2026.</w:t>
      </w:r>
    </w:p>
    <w:p>
      <w:pPr>
        <w:pStyle w:val="Heading3"/>
        <w:spacing w:after="100" w:before="200" w:line="312"/>
      </w:pPr>
      <w:bookmarkStart w:id="100011" w:name="_Toc100011"/>
      <w:r>
        <w:rPr>
          <w:rFonts w:ascii="Times New Roman" w:eastAsia="SimHei"/>
          <w:b/>
          <w:bCs/>
          <w:color w:val="1A2330"/>
          <w:sz w:val="24"/>
          <w:szCs w:val="24"/>
        </w:rPr>
        <w:t xml:space="preserve">Point 3 — Utilisateurs et périmètre</w:t>
      </w:r>
      <w:bookmarkEnd w:id="100011"/>
    </w:p>
    <w:p>
      <w:pPr>
        <w:keepNext w:val="false"/>
        <w:spacing w:after="120" w:line="312"/>
        <w:jc w:val="both"/>
      </w:pPr>
      <w:r>
        <w:rPr>
          <w:rFonts w:ascii="Times New Roman" w:eastAsia="SimSun"/>
          <w:color w:val="000000"/>
          <w:sz w:val="24"/>
          <w:szCs w:val="24"/>
        </w:rPr>
        <w:t xml:space="preserve">Le logiciel sert un utilisateur unique : le manager de l'équipe Vital_GDB, 4e de la ligue avec 284 points. Les quatre autres équipes — nik Leroy (333 points), Donatien Lokossou530 (318), Aziza FC (295) et Zarés JR (283) — sont analysées en lecture seule, sans aucune possibilité d'écriture. Il n'existe ni inscription publique, ni multi-utilisateur, ni partage : le logiciel est strictement personnel. Les rattachements familiaux et amicaux des rivaux (frère, amis) seront saisis comme simple métadonnée d'affichage dans le War Room.</w:t>
      </w:r>
    </w:p>
    <w:p>
      <w:pPr>
        <w:pStyle w:val="Heading3"/>
        <w:spacing w:after="100" w:before="200" w:line="312"/>
      </w:pPr>
      <w:bookmarkStart w:id="100012" w:name="_Toc100012"/>
      <w:r>
        <w:rPr>
          <w:rFonts w:ascii="Times New Roman" w:eastAsia="SimHei"/>
          <w:b/>
          <w:bCs/>
          <w:color w:val="1A2330"/>
          <w:sz w:val="24"/>
          <w:szCs w:val="24"/>
        </w:rPr>
        <w:t xml:space="preserve">Point 4 — Le jeu support et ses règles officielles</w:t>
      </w:r>
      <w:bookmarkEnd w:id="100012"/>
    </w:p>
    <w:p>
      <w:pPr>
        <w:keepNext w:val="false"/>
        <w:spacing w:after="120" w:line="312"/>
        <w:jc w:val="both"/>
      </w:pPr>
      <w:r>
        <w:rPr>
          <w:rFonts w:ascii="Times New Roman" w:eastAsia="SimSun"/>
          <w:color w:val="000000"/>
          <w:sz w:val="24"/>
          <w:szCs w:val="24"/>
        </w:rPr>
        <w:t xml:space="preserve">Le référentiel est Sofascore Fantasy Premier League, saison 2026/27, avec les règles officielles détaillées au tableau 1 : budget de 100 M€, effectif de 15 joueurs (2 gardiens, 5 défenseurs, 5 milieux, 3 attaquants), 2 transferts gratuits par journée cumulables jusqu'à 5, pénalité de -5 points par transfert supplémentaire, et trois tokens limités à un par journée. Le barème repose sur les ratings Sofascore et plus de 30 catégories statistiques, avec les ajustements officiels de la saison (dégagements 6 pour 1 point, dribbles 3 pour 1 point, passes non rémunérées pour les défenseurs). Toute règle du logiciel dérive de ce référentiel daté et sourcé ; toute divergence constatée en cours de saison déclenche une mise à jour documentée.</w:t>
      </w:r>
    </w:p>
    <w:p>
      <w:pPr>
        <w:pStyle w:val="Heading3"/>
        <w:spacing w:after="100" w:before="200" w:line="312"/>
      </w:pPr>
      <w:bookmarkStart w:id="100013" w:name="_Toc100013"/>
      <w:r>
        <w:rPr>
          <w:rFonts w:ascii="Times New Roman" w:eastAsia="SimHei"/>
          <w:b/>
          <w:bCs/>
          <w:color w:val="1A2330"/>
          <w:sz w:val="24"/>
          <w:szCs w:val="24"/>
        </w:rPr>
        <w:t xml:space="preserve">Point 5 — La ligue cible « Le fond de la classe »</w:t>
      </w:r>
      <w:bookmarkEnd w:id="100013"/>
    </w:p>
    <w:p>
      <w:pPr>
        <w:keepNext w:val="false"/>
        <w:spacing w:after="120" w:line="312"/>
        <w:jc w:val="both"/>
      </w:pPr>
      <w:r>
        <w:rPr>
          <w:rFonts w:ascii="Times New Roman" w:eastAsia="SimSun"/>
          <w:color w:val="000000"/>
          <w:sz w:val="24"/>
          <w:szCs w:val="24"/>
        </w:rPr>
        <w:t xml:space="preserve">La ligue cible compte cinq managers et sert d'environnement de vérité au logiciel : le classement réel au 13 septembre 2026 (333, 318, 295, 284 et 283 points) est l'état de référence que l'application doit retrouver à l'identique lors de la première synchronisation. Les spécificités des journées Fantasy de Sofascore — regroupement des matchs par date, journées doubles ou vides différentes des autres plateformes — doivent être respectées dans tous les calculs de calendrier. La ligue est identifiée de manière unique dans la base pour éviter toute confusion avec une autre compétition Sofascore de l'utilisateur.</w:t>
      </w:r>
    </w:p>
    <w:p>
      <w:pPr>
        <w:pStyle w:val="Heading3"/>
        <w:spacing w:after="100" w:before="200" w:line="312"/>
      </w:pPr>
      <w:bookmarkStart w:id="100014" w:name="_Toc100014"/>
      <w:r>
        <w:rPr>
          <w:rFonts w:ascii="Times New Roman" w:eastAsia="SimHei"/>
          <w:b/>
          <w:bCs/>
          <w:color w:val="1A2330"/>
          <w:sz w:val="24"/>
          <w:szCs w:val="24"/>
        </w:rPr>
        <w:t xml:space="preserve">Point 6 — Principes directeurs</w:t>
      </w:r>
      <w:bookmarkEnd w:id="100014"/>
    </w:p>
    <w:p>
      <w:pPr>
        <w:keepNext w:val="false"/>
        <w:spacing w:after="120" w:line="312"/>
        <w:jc w:val="both"/>
      </w:pPr>
      <w:r>
        <w:rPr>
          <w:rFonts w:ascii="Times New Roman" w:eastAsia="SimSun"/>
          <w:color w:val="000000"/>
          <w:sz w:val="24"/>
          <w:szCs w:val="24"/>
        </w:rPr>
        <w:t xml:space="preserve">Quatre principes non négociables encadrent toute réalisation. Premièrement, zéro donnée fictive : toute valeur affichée est traçable vers une source datée (session Sofascore, article officiel ou capture validée). Deuxièmement, interprétation systématique : un chiffre ne sort jamais seul, chaque présentation porte un verdict en trois niveaux — bon investissement, à surveiller, à éviter. Troisièmement, unicité des données : l'assistant IA lit exactement la même base que l'interface, sans source parallèle. Quatrièmement, décision actionnable : chaque écran répond à une question concrète de management (« qui aligner ? », « qui transférer ? », « quel token ? »).</w:t>
      </w:r>
    </w:p>
    <w:p>
      <w:pPr>
        <w:pStyle w:val="Heading2"/>
        <w:spacing w:after="120" w:before="240" w:line="312"/>
      </w:pPr>
      <w:bookmarkStart w:id="100015" w:name="_Toc100015"/>
      <w:r>
        <w:rPr>
          <w:rFonts w:ascii="Times New Roman" w:eastAsia="SimHei"/>
          <w:b/>
          <w:bCs/>
          <w:color w:val="1A2330"/>
          <w:sz w:val="28"/>
          <w:szCs w:val="28"/>
        </w:rPr>
        <w:t xml:space="preserve">Groupe B — Fonctionnalités (points 7 à 14)</w:t>
      </w:r>
      <w:bookmarkEnd w:id="100015"/>
    </w:p>
    <w:p>
      <w:pPr>
        <w:pStyle w:val="Heading3"/>
        <w:spacing w:after="100" w:before="200" w:line="312"/>
      </w:pPr>
      <w:bookmarkStart w:id="100016" w:name="_Toc100016"/>
      <w:r>
        <w:rPr>
          <w:rFonts w:ascii="Times New Roman" w:eastAsia="SimHei"/>
          <w:b/>
          <w:bCs/>
          <w:color w:val="1A2330"/>
          <w:sz w:val="24"/>
          <w:szCs w:val="24"/>
        </w:rPr>
        <w:t xml:space="preserve">Point 7 — Module « Mon équipe »</w:t>
      </w:r>
      <w:bookmarkEnd w:id="100016"/>
    </w:p>
    <w:p>
      <w:pPr>
        <w:keepNext w:val="false"/>
        <w:spacing w:after="120" w:line="312"/>
        <w:jc w:val="both"/>
      </w:pPr>
      <w:r>
        <w:rPr>
          <w:rFonts w:ascii="Times New Roman" w:eastAsia="SimSun"/>
          <w:color w:val="000000"/>
          <w:sz w:val="24"/>
          <w:szCs w:val="24"/>
        </w:rPr>
        <w:t xml:space="preserve">Ce module affiche l'état réel et complet de l'équipe : le onze de départ, le banc, le capitaine, le budget restant, les transferts disponibles et leur cumul vers le plafond de 5, la valeur totale de l'effectif et les tokens encore disponibles (Triple Captain, Quick Fix, Rebuild Squad). Chaque consultation produit un diagnostic daté : note d'équipe, forces du moment, risques immédiats (blessures, suspensions, doublons de calendrier) et les trois actions prioritaires à réaliser avant la deadline de la journée. C'est l'écran d'entrée du logiciel et celui qui doit être juste à cent pour cent dès la première synchronisation.</w:t>
      </w:r>
    </w:p>
    <w:p>
      <w:pPr>
        <w:pStyle w:val="Heading3"/>
        <w:spacing w:after="100" w:before="200" w:line="312"/>
      </w:pPr>
      <w:bookmarkStart w:id="100017" w:name="_Toc100017"/>
      <w:r>
        <w:rPr>
          <w:rFonts w:ascii="Times New Roman" w:eastAsia="SimHei"/>
          <w:b/>
          <w:bCs/>
          <w:color w:val="1A2330"/>
          <w:sz w:val="24"/>
          <w:szCs w:val="24"/>
        </w:rPr>
        <w:t xml:space="preserve">Point 8 — Analyse joueurs</w:t>
      </w:r>
      <w:bookmarkEnd w:id="100017"/>
    </w:p>
    <w:p>
      <w:pPr>
        <w:keepNext w:val="false"/>
        <w:spacing w:after="120" w:line="312"/>
        <w:jc w:val="both"/>
      </w:pPr>
      <w:r>
        <w:rPr>
          <w:rFonts w:ascii="Times New Roman" w:eastAsia="SimSun"/>
          <w:color w:val="000000"/>
          <w:sz w:val="24"/>
          <w:szCs w:val="24"/>
        </w:rPr>
        <w:t xml:space="preserve">Pour chaque joueur de Premier League, le module agrège : rating Sofascore moyen, performances des cinq derniers matchs, buts attendus (xG) et passes décisives attendus (xA), grosses occasions créées, passes clés, dégagements et dribbles réussis selon le nouveau barème 2026/27, prix courant et pourcentage de possession dans le jeu. Le verdict normalisé en trois niveaux — bon investissement, à surveiller, à éviter — est obligatoire et toujours justifié par au moins deux données réelles datées. Les filtres couvrent le poste, la fourchette de prix, la forme et la possession, afin de répondre en quelques secondes à la question « avec qui remplacer X dans mon budget ? ».</w:t>
      </w:r>
    </w:p>
    <w:p>
      <w:pPr>
        <w:pStyle w:val="Heading3"/>
        <w:spacing w:after="100" w:before="200" w:line="312"/>
      </w:pPr>
      <w:bookmarkStart w:id="100018" w:name="_Toc100018"/>
      <w:r>
        <w:rPr>
          <w:rFonts w:ascii="Times New Roman" w:eastAsia="SimHei"/>
          <w:b/>
          <w:bCs/>
          <w:color w:val="1A2330"/>
          <w:sz w:val="24"/>
          <w:szCs w:val="24"/>
        </w:rPr>
        <w:t xml:space="preserve">Point 9 — Prédictions Fantasy Score</w:t>
      </w:r>
      <w:bookmarkEnd w:id="100018"/>
    </w:p>
    <w:p>
      <w:pPr>
        <w:keepNext w:val="false"/>
        <w:spacing w:after="120" w:line="312"/>
        <w:jc w:val="both"/>
      </w:pPr>
      <w:r>
        <w:rPr>
          <w:rFonts w:ascii="Times New Roman" w:eastAsia="SimSun"/>
          <w:color w:val="000000"/>
          <w:sz w:val="24"/>
          <w:szCs w:val="24"/>
        </w:rPr>
        <w:t xml:space="preserve">Le moteur produit, pour chaque joueur et chaque journée à venir, un score projeté issu du trio forme récente, temps de jeu probable et difficulté de l'adversaire. La prédiction est présentée avec une probabilité de titularisation — un joueur est considéré comme titulaire probable au-delà de 75 pour cent — et une fourchette haute-basse explicite ; aucune valeur unique n'est jamais présentée comme certaine. Les paramètres du modèle (poids de la forme, de la rotation et du calendrier) restent visibles et ajustables, afin que chaque projection puisse être comprise, contestée et affinée par l'utilisateur.</w:t>
      </w:r>
    </w:p>
    <w:p>
      <w:pPr>
        <w:pStyle w:val="Heading3"/>
        <w:spacing w:after="100" w:before="200" w:line="312"/>
      </w:pPr>
      <w:bookmarkStart w:id="100019" w:name="_Toc100019"/>
      <w:r>
        <w:rPr>
          <w:rFonts w:ascii="Times New Roman" w:eastAsia="SimHei"/>
          <w:b/>
          <w:bCs/>
          <w:color w:val="1A2330"/>
          <w:sz w:val="24"/>
          <w:szCs w:val="24"/>
        </w:rPr>
        <w:t xml:space="preserve">Point 10 — Calendrier et Fixture Score</w:t>
      </w:r>
      <w:bookmarkEnd w:id="100019"/>
    </w:p>
    <w:p>
      <w:pPr>
        <w:keepNext w:val="false"/>
        <w:spacing w:after="120" w:line="312"/>
        <w:jc w:val="both"/>
      </w:pPr>
      <w:r>
        <w:rPr>
          <w:rFonts w:ascii="Times New Roman" w:eastAsia="SimSun"/>
          <w:color w:val="000000"/>
          <w:sz w:val="24"/>
          <w:szCs w:val="24"/>
        </w:rPr>
        <w:t xml:space="preserve">Le module calcule, pour les cinq prochaines journées, un score de facilité par équipe et par joueur, un cumul glissant et un classement des calendriers de toute la ligue. La référence de départ est officielle : Arsenal possède le calendrier le plus clément des rondes 4 à 8 (déplacements à Sunderland et Brighton, réceptions de Leeds et Everton), devant Manchester City, Chelsea, Newcastle et Liverpool. Le Fixture Score alimente directement les autres modules : recommandations de transferts, choix de capitaine et détection des doublons de joueurs à écouler avant une série difficile.</w:t>
      </w:r>
    </w:p>
    <w:p>
      <w:pPr>
        <w:pStyle w:val="Heading3"/>
        <w:spacing w:after="100" w:before="200" w:line="312"/>
      </w:pPr>
      <w:bookmarkStart w:id="100020" w:name="_Toc100020"/>
      <w:r>
        <w:rPr>
          <w:rFonts w:ascii="Times New Roman" w:eastAsia="SimHei"/>
          <w:b/>
          <w:bCs/>
          <w:color w:val="1A2330"/>
          <w:sz w:val="24"/>
          <w:szCs w:val="24"/>
        </w:rPr>
        <w:t xml:space="preserve">Point 11 — Moteur d'alertes</w:t>
      </w:r>
      <w:bookmarkEnd w:id="100020"/>
    </w:p>
    <w:p>
      <w:pPr>
        <w:keepNext w:val="false"/>
        <w:spacing w:after="120" w:line="312"/>
        <w:jc w:val="both"/>
      </w:pPr>
      <w:r>
        <w:rPr>
          <w:rFonts w:ascii="Times New Roman" w:eastAsia="SimSun"/>
          <w:color w:val="000000"/>
          <w:sz w:val="24"/>
          <w:szCs w:val="24"/>
        </w:rPr>
        <w:t xml:space="preserve">Les alertes se répartissent en deux familles : opportunités (joueur en forme sous-valorisé, calendrier qui s'ouvre, prix bas exploitable, token pertinent) et risques (blessure, rotation probable, suspension, baisse continue de rating, cumul de transferts au plafond). Chaque alerte porte un niveau de gravité, une échéance — systématiquement rattachée à la deadline de la journée en cours — et une action recommandée en une phrase. Le moteur fonctionne en local, sans notification serveur, et conserve un historique consultable pour évaluer la qualité de ses propres signaux.</w:t>
      </w:r>
    </w:p>
    <w:p>
      <w:pPr>
        <w:pStyle w:val="Heading3"/>
        <w:spacing w:after="100" w:before="200" w:line="312"/>
      </w:pPr>
      <w:bookmarkStart w:id="100021" w:name="_Toc100021"/>
      <w:r>
        <w:rPr>
          <w:rFonts w:ascii="Times New Roman" w:eastAsia="SimHei"/>
          <w:b/>
          <w:bCs/>
          <w:color w:val="1A2330"/>
          <w:sz w:val="24"/>
          <w:szCs w:val="24"/>
        </w:rPr>
        <w:t xml:space="preserve">Point 12 — League War Room</w:t>
      </w:r>
      <w:bookmarkEnd w:id="100021"/>
    </w:p>
    <w:p>
      <w:pPr>
        <w:keepNext w:val="false"/>
        <w:spacing w:after="120" w:line="312"/>
        <w:jc w:val="both"/>
      </w:pPr>
      <w:r>
        <w:rPr>
          <w:rFonts w:ascii="Times New Roman" w:eastAsia="SimSun"/>
          <w:color w:val="000000"/>
          <w:sz w:val="24"/>
          <w:szCs w:val="24"/>
        </w:rPr>
        <w:t xml:space="preserve">Le War Room consacre un écran à chacun des quatre rivaux : nik Leroy, Donatien_10, Nadjib Américo et Zarés Junior. Pour chacun : effectif reconstitué, points par journée, tendances, chevauchements avec mon effectif, capitaines probables et historique des mouvements de transferts. L'objectif est double : anticiper leurs coups avant la deadline et éviter de leur offrir des points — notamment en évitant de capitainer un joueur qu'ils détiennent massivement lorsqu'ils sont en position de force. La journée 4 de nik Leroy (108 points) fait l'objet d'une analyse inaugurale dès la première version du module.</w:t>
      </w:r>
    </w:p>
    <w:p>
      <w:pPr>
        <w:pStyle w:val="Heading3"/>
        <w:spacing w:after="100" w:before="200" w:line="312"/>
      </w:pPr>
      <w:bookmarkStart w:id="100022" w:name="_Toc100022"/>
      <w:r>
        <w:rPr>
          <w:rFonts w:ascii="Times New Roman" w:eastAsia="SimHei"/>
          <w:b/>
          <w:bCs/>
          <w:color w:val="1A2330"/>
          <w:sz w:val="24"/>
          <w:szCs w:val="24"/>
        </w:rPr>
        <w:t xml:space="preserve">Point 13 — Differential Finder</w:t>
      </w:r>
      <w:bookmarkEnd w:id="100022"/>
    </w:p>
    <w:p>
      <w:pPr>
        <w:keepNext w:val="false"/>
        <w:spacing w:after="120" w:line="312"/>
        <w:jc w:val="both"/>
      </w:pPr>
      <w:r>
        <w:rPr>
          <w:rFonts w:ascii="Times New Roman" w:eastAsia="SimSun"/>
          <w:color w:val="000000"/>
          <w:sz w:val="24"/>
          <w:szCs w:val="24"/>
        </w:rPr>
        <w:t xml:space="preserve">Dans une ligue de cinq personnes, l'avantage se joue entre rivaux directs : un joueur détenu par personne ne rapporte aucun différentiel. Le module classe donc les joueurs peu possédés par les quatre rivaux — idéalement sous 10 pour cent chez eux — dont la forme récente et le calendrier justifient un pari. Le score de différentiel combine trois facteurs : forme, fixture et faible détention chez les rivaux, selon la formule forme x fixture x (1 - possession chez les rivaux). Le module interdit explicitement les paris différentiels lorsque l'écart de points avec Zarés JR (1 point d'avance) rend le risque inconsidéré.</w:t>
      </w:r>
    </w:p>
    <w:p>
      <w:pPr>
        <w:pStyle w:val="Heading3"/>
        <w:spacing w:after="100" w:before="200" w:line="312"/>
      </w:pPr>
      <w:bookmarkStart w:id="100023" w:name="_Toc100023"/>
      <w:r>
        <w:rPr>
          <w:rFonts w:ascii="Times New Roman" w:eastAsia="SimHei"/>
          <w:b/>
          <w:bCs/>
          <w:color w:val="1A2330"/>
          <w:sz w:val="24"/>
          <w:szCs w:val="24"/>
        </w:rPr>
        <w:t xml:space="preserve">Point 14 — Assistant IA connecté</w:t>
      </w:r>
      <w:bookmarkEnd w:id="100023"/>
    </w:p>
    <w:p>
      <w:pPr>
        <w:keepNext w:val="false"/>
        <w:spacing w:after="120" w:line="312"/>
        <w:jc w:val="both"/>
      </w:pPr>
      <w:r>
        <w:rPr>
          <w:rFonts w:ascii="Times New Roman" w:eastAsia="SimSun"/>
          <w:color w:val="000000"/>
          <w:sz w:val="24"/>
          <w:szCs w:val="24"/>
        </w:rPr>
        <w:t xml:space="preserve">L'assistant est un chat branché sur exactement la même base de données que l'interface : il répond à « je fais jouer qui ? », « qui capitainer ? », « je vends qui ? » en citant les ratings, fixtures, probabilités et prix réels de l'effectif de l'utilisateur et des rivaux. Aucune réponse générique n'est tolérée : si une donnée manque, l'assistant le dit et propose la synchronisation ou la capture nécessaire. Chaque recommandation liste ses sources internes (tables et dates), ce qui permet de vérifier le raisonnement à posteriori — dans l'esprit du principe d'unicité des données fixé au point 6.</w:t>
      </w:r>
    </w:p>
    <w:p>
      <w:pPr>
        <w:pStyle w:val="Heading2"/>
        <w:spacing w:after="120" w:before="240" w:line="312"/>
      </w:pPr>
      <w:bookmarkStart w:id="100024" w:name="_Toc100024"/>
      <w:r>
        <w:rPr>
          <w:rFonts w:ascii="Times New Roman" w:eastAsia="SimHei"/>
          <w:b/>
          <w:bCs/>
          <w:color w:val="1A2330"/>
          <w:sz w:val="28"/>
          <w:szCs w:val="28"/>
        </w:rPr>
        <w:t xml:space="preserve">Groupe C — Données réelles et architecture (points 15 à 21)</w:t>
      </w:r>
      <w:bookmarkEnd w:id="100024"/>
    </w:p>
    <w:p>
      <w:pPr>
        <w:pStyle w:val="Heading3"/>
        <w:spacing w:after="100" w:before="200" w:line="312"/>
      </w:pPr>
      <w:bookmarkStart w:id="100025" w:name="_Toc100025"/>
      <w:r>
        <w:rPr>
          <w:rFonts w:ascii="Times New Roman" w:eastAsia="SimHei"/>
          <w:b/>
          <w:bCs/>
          <w:color w:val="1A2330"/>
          <w:sz w:val="24"/>
          <w:szCs w:val="24"/>
        </w:rPr>
        <w:t xml:space="preserve">Point 15 — Sources de données réelles</w:t>
      </w:r>
      <w:bookmarkEnd w:id="100025"/>
    </w:p>
    <w:p>
      <w:pPr>
        <w:keepNext w:val="false"/>
        <w:spacing w:after="120" w:line="312"/>
        <w:jc w:val="both"/>
      </w:pPr>
      <w:r>
        <w:rPr>
          <w:rFonts w:ascii="Times New Roman" w:eastAsia="SimSun"/>
          <w:color w:val="000000"/>
          <w:sz w:val="24"/>
          <w:szCs w:val="24"/>
        </w:rPr>
        <w:t xml:space="preserve">Le logiciel s'alimente auprès de trois flux distincts et datés. Le flux « jeu » provient de la session Sofascore de l'utilisateur : mon équipe, la ligue « Le fond de la classe », les quatre équipes rivales, les transferts et tokens. Le flux « statistiques » couvre les matchs, ratings, xG/xA et calendriers de Premier League publiés par Sofascore. Le flux « référentiel » rassemble les règles officielles de la saison, issues des articles Sofascore du 28 août et du 11 septembre 2026 et de la FAQ officielle. Chaque enregistrement stocke sa source et sa date, ce qui rend possible l'exigence de traçabilité du point 6.</w:t>
      </w:r>
    </w:p>
    <w:p>
      <w:pPr>
        <w:pStyle w:val="Heading3"/>
        <w:spacing w:after="100" w:before="200" w:line="312"/>
      </w:pPr>
      <w:bookmarkStart w:id="100026" w:name="_Toc100026"/>
      <w:r>
        <w:rPr>
          <w:rFonts w:ascii="Times New Roman" w:eastAsia="SimHei"/>
          <w:b/>
          <w:bCs/>
          <w:color w:val="1A2330"/>
          <w:sz w:val="24"/>
          <w:szCs w:val="24"/>
        </w:rPr>
        <w:t xml:space="preserve">Point 16 — Constat d'accès du 14 septembre 2026</w:t>
      </w:r>
      <w:bookmarkEnd w:id="100026"/>
    </w:p>
    <w:p>
      <w:pPr>
        <w:keepNext w:val="false"/>
        <w:spacing w:after="120" w:line="312"/>
        <w:jc w:val="both"/>
      </w:pPr>
      <w:r>
        <w:rPr>
          <w:rFonts w:ascii="Times New Roman" w:eastAsia="SimSun"/>
          <w:color w:val="000000"/>
          <w:sz w:val="24"/>
          <w:szCs w:val="24"/>
        </w:rPr>
        <w:t xml:space="preserve">Des tests d'accès ont été exécutés le 14 septembre 2026 depuis un environnement serveur. L'API interne de Sofascore (api.sofascore.com et www.sofascore.com/api/v1) renvoie systématiquement une erreur 403 « challenge » protégée par Cloudflare, y compris via un navigateur automatisé complet ; la page Fantasy et les pages de profil exigent une connexion active ; seules les pages publiques et les articles sont lisibles. Conclusion technique ferme : toute collecte serveur est vouée à l'échec, et la collecte fiable s'exécute du côté de l'utilisateur, sur son réseau et avec sa session. Ce constat conditionne l'architecture complète du projet.</w:t>
      </w:r>
    </w:p>
    <w:p>
      <w:pPr>
        <w:pStyle w:val="Heading3"/>
        <w:spacing w:after="100" w:before="200" w:line="312"/>
      </w:pPr>
      <w:bookmarkStart w:id="100027" w:name="_Toc100027"/>
      <w:r>
        <w:rPr>
          <w:rFonts w:ascii="Times New Roman" w:eastAsia="SimHei"/>
          <w:b/>
          <w:bCs/>
          <w:color w:val="1A2330"/>
          <w:sz w:val="24"/>
          <w:szCs w:val="24"/>
        </w:rPr>
        <w:t xml:space="preserve">Point 17 — Connecteur local (option retenue)</w:t>
      </w:r>
      <w:bookmarkEnd w:id="100027"/>
    </w:p>
    <w:p>
      <w:pPr>
        <w:keepNext w:val="false"/>
        <w:spacing w:after="120" w:line="312"/>
        <w:jc w:val="both"/>
      </w:pPr>
      <w:r>
        <w:rPr>
          <w:rFonts w:ascii="Times New Roman" w:eastAsia="SimSun"/>
          <w:color w:val="000000"/>
          <w:sz w:val="24"/>
          <w:szCs w:val="24"/>
        </w:rPr>
        <w:t xml:space="preserve">Le mode de collecte principal est un connecteur local : un petit service installé sur la machine de l'utilisateur, qui réutilise la session de son navigateur déjà connectée à Sofascore pour lire mon équipe, la ligue et les équipes rivales, puis les injecte dans la base locale. Aucun mot de passe n'est demandé, transmis ou stocké par le logiciel ; seules des données de jeu sont enregistrées, localement. Le connecteur s'exécute à la demande (bouton « Synchroniser ») ou selon un calendrier léger avant chaque deadline, avec un rythme de requêtes volontairement modéré.</w:t>
      </w:r>
    </w:p>
    <w:p>
      <w:pPr>
        <w:pStyle w:val="Heading3"/>
        <w:spacing w:after="100" w:before="200" w:line="312"/>
      </w:pPr>
      <w:bookmarkStart w:id="100028" w:name="_Toc100028"/>
      <w:r>
        <w:rPr>
          <w:rFonts w:ascii="Times New Roman" w:eastAsia="SimHei"/>
          <w:b/>
          <w:bCs/>
          <w:color w:val="1A2330"/>
          <w:sz w:val="24"/>
          <w:szCs w:val="24"/>
        </w:rPr>
        <w:t xml:space="preserve">Point 18 — Options de repli</w:t>
      </w:r>
      <w:bookmarkEnd w:id="100028"/>
    </w:p>
    <w:p>
      <w:pPr>
        <w:keepNext w:val="false"/>
        <w:spacing w:after="120" w:line="312"/>
        <w:jc w:val="both"/>
      </w:pPr>
      <w:r>
        <w:rPr>
          <w:rFonts w:ascii="Times New Roman" w:eastAsia="SimSun"/>
          <w:color w:val="000000"/>
          <w:sz w:val="24"/>
          <w:szCs w:val="24"/>
        </w:rPr>
        <w:t xml:space="preserve">Deux modes de secours partagent le même format d'échange que le connecteur principal, si bien que le logiciel fonctionne quel que soit le canal utilisé. L'option B est une extension de navigateur qui capte les mêmes données pendant la navigation normale de l'utilisateur sur Sofascore — utile si le connecteur local rencontre une restriction technique. L'option C est un import manuel assisté : captures d'écran structurées ou fichiers JSON collés dans un formulaire guidé, suffisants pour tenir une journée complète en cas d'indisponibilité des deux premiers canaux. Le basculement entre canaux ne modifie ni la base, ni les moteurs, ni l'interface.</w:t>
      </w:r>
    </w:p>
    <w:p>
      <w:pPr>
        <w:pStyle w:val="Heading3"/>
        <w:spacing w:after="100" w:before="200" w:line="312"/>
      </w:pPr>
      <w:bookmarkStart w:id="100029" w:name="_Toc100029"/>
      <w:r>
        <w:rPr>
          <w:rFonts w:ascii="Times New Roman" w:eastAsia="SimHei"/>
          <w:b/>
          <w:bCs/>
          <w:color w:val="1A2330"/>
          <w:sz w:val="24"/>
          <w:szCs w:val="24"/>
        </w:rPr>
        <w:t xml:space="preserve">Point 19 — Normalisation et base de données</w:t>
      </w:r>
      <w:bookmarkEnd w:id="100029"/>
    </w:p>
    <w:p>
      <w:pPr>
        <w:keepNext w:val="false"/>
        <w:spacing w:after="120" w:line="312"/>
        <w:jc w:val="both"/>
      </w:pPr>
      <w:r>
        <w:rPr>
          <w:rFonts w:ascii="Times New Roman" w:eastAsia="SimSun"/>
          <w:color w:val="000000"/>
          <w:sz w:val="24"/>
          <w:szCs w:val="24"/>
        </w:rPr>
        <w:t xml:space="preserve">Une couche de normalisation traduit les données brutes en un schéma stable : players, teams, fixtures, ratings, fantasy_squads, league_entries, alerts et decisions_log, stockées dans une base SQLite locale. Chaque table porte un horodatage et une référence de source, et conserve l'historique des valeurs successives — indispensable pour calculer les tendances (hausse de prix, baisse de rating) et pour auditer une recommandation passée. Les identifiants Sofascore des joueurs et des équipes sont conservés tels quels afin de garantir la correspondance exacte entre l'application et le logiciel.</w:t>
      </w:r>
    </w:p>
    <w:p>
      <w:pPr>
        <w:pStyle w:val="Heading3"/>
        <w:spacing w:after="100" w:before="200" w:line="312"/>
      </w:pPr>
      <w:bookmarkStart w:id="100030" w:name="_Toc100030"/>
      <w:r>
        <w:rPr>
          <w:rFonts w:ascii="Times New Roman" w:eastAsia="SimHei"/>
          <w:b/>
          <w:bCs/>
          <w:color w:val="1A2330"/>
          <w:sz w:val="24"/>
          <w:szCs w:val="24"/>
        </w:rPr>
        <w:t xml:space="preserve">Point 20 — Moteurs analytiques</w:t>
      </w:r>
      <w:bookmarkEnd w:id="100030"/>
    </w:p>
    <w:p>
      <w:pPr>
        <w:keepNext w:val="false"/>
        <w:spacing w:after="120" w:line="312"/>
        <w:jc w:val="both"/>
      </w:pPr>
      <w:r>
        <w:rPr>
          <w:rFonts w:ascii="Times New Roman" w:eastAsia="SimSun"/>
          <w:color w:val="000000"/>
          <w:sz w:val="24"/>
          <w:szCs w:val="24"/>
        </w:rPr>
        <w:t xml:space="preserve">Cinq moteurs indépendants et testables forment le cœur de calcul : le moteur de scoring Fantasy (barème officiel 2026/27), le moteur de fixtures (score de facilité sur cinq journées glissantes), le moteur de prédiction (score projeté, probabilité de titularisation, fourchette), le moteur de différentiel (forme x fixture x rareté chez les rivaux) et le moteur d'alertes (opportunités et risques pondérés). Chaque moteur expose publiquement ses formules dans l'interface — une info-bulle « comment ce chiffre est calculé » accompagne chaque valeur dérivée — de sorte qu'aucun calcul ne soit une boîte noire pour l'utilisateur.</w:t>
      </w:r>
    </w:p>
    <w:p>
      <w:pPr>
        <w:pStyle w:val="Heading3"/>
        <w:spacing w:after="100" w:before="200" w:line="312"/>
      </w:pPr>
      <w:bookmarkStart w:id="100031" w:name="_Toc100031"/>
      <w:r>
        <w:rPr>
          <w:rFonts w:ascii="Times New Roman" w:eastAsia="SimHei"/>
          <w:b/>
          <w:bCs/>
          <w:color w:val="1A2330"/>
          <w:sz w:val="24"/>
          <w:szCs w:val="24"/>
        </w:rPr>
        <w:t xml:space="preserve">Point 21 — Sécurité et conformité</w:t>
      </w:r>
      <w:bookmarkEnd w:id="100031"/>
    </w:p>
    <w:p>
      <w:pPr>
        <w:keepNext w:val="false"/>
        <w:spacing w:after="120" w:line="312"/>
        <w:jc w:val="both"/>
      </w:pPr>
      <w:r>
        <w:rPr>
          <w:rFonts w:ascii="Times New Roman" w:eastAsia="SimSun"/>
          <w:color w:val="000000"/>
          <w:sz w:val="24"/>
          <w:szCs w:val="24"/>
        </w:rPr>
        <w:t xml:space="preserve">Les cookies de session Sofascore restent sur la machine de l'utilisateur, stockés localement et chiffrés ; aucun identifiant, aucun mot de passe et aucune donnée personnelle ne transitent par un serveur tiers. Le rythme de requêtes est volontairement limité à un usage personnel raisonnable : quelques synchronisations par journée, pas de republication des données, pas d'usage commercial — conformément à l'esprit des conditions d'utilisation de Sofascore. Une fonction de suppression totale permet d'effacer la base et les sessions en une action. Enfin, le logiciel n'automatise aucune action de jeu : il recommande, l'utilisateur décide et agit lui-même dans l'application officielle.</w:t>
      </w:r>
    </w:p>
    <w:p>
      <w:pPr>
        <w:pStyle w:val="Heading2"/>
        <w:spacing w:after="120" w:before="240" w:line="312"/>
      </w:pPr>
      <w:bookmarkStart w:id="100032" w:name="_Toc100032"/>
      <w:r>
        <w:rPr>
          <w:rFonts w:ascii="Times New Roman" w:eastAsia="SimHei"/>
          <w:b/>
          <w:bCs/>
          <w:color w:val="1A2330"/>
          <w:sz w:val="28"/>
          <w:szCs w:val="28"/>
        </w:rPr>
        <w:t xml:space="preserve">Groupe D — Réalisation (points 22 à 24)</w:t>
      </w:r>
      <w:bookmarkEnd w:id="100032"/>
    </w:p>
    <w:p>
      <w:pPr>
        <w:pStyle w:val="Heading3"/>
        <w:spacing w:after="100" w:before="200" w:line="312"/>
      </w:pPr>
      <w:bookmarkStart w:id="100033" w:name="_Toc100033"/>
      <w:r>
        <w:rPr>
          <w:rFonts w:ascii="Times New Roman" w:eastAsia="SimHei"/>
          <w:b/>
          <w:bCs/>
          <w:color w:val="1A2330"/>
          <w:sz w:val="24"/>
          <w:szCs w:val="24"/>
        </w:rPr>
        <w:t xml:space="preserve">Point 22 — Périmètre MVP V1</w:t>
      </w:r>
      <w:bookmarkEnd w:id="100033"/>
    </w:p>
    <w:p>
      <w:pPr>
        <w:keepNext w:val="false"/>
        <w:spacing w:after="120" w:line="312"/>
        <w:jc w:val="both"/>
      </w:pPr>
      <w:r>
        <w:rPr>
          <w:rFonts w:ascii="Times New Roman" w:eastAsia="SimSun"/>
          <w:color w:val="000000"/>
          <w:sz w:val="24"/>
          <w:szCs w:val="24"/>
        </w:rPr>
        <w:t xml:space="preserve">La V1 couvre quatre modules : Mon équipe (état réel et diagnostic), Analyse joueurs en lecture, Calendrier et Fixture Score, et une War Room simplifiée (classement réel et effectifs des rivaux importés), le tout alimenté par le connecteur local et l'import manuel de secours. Sont explicitement exclus de la V1 : les prédictions probabilistes avancées, le différentiel automatisé et le chat IA — réservés aux phases V1.5 et V2. Ce resserrement vise une échéance précise : disposer d'un outil fiable avant la deadline de la prochaine journée, plutôt qu'un outil complet mais tardif.</w:t>
      </w:r>
    </w:p>
    <w:p>
      <w:pPr>
        <w:pStyle w:val="Heading3"/>
        <w:spacing w:after="100" w:before="200" w:line="312"/>
      </w:pPr>
      <w:bookmarkStart w:id="100034" w:name="_Toc100034"/>
      <w:r>
        <w:rPr>
          <w:rFonts w:ascii="Times New Roman" w:eastAsia="SimHei"/>
          <w:b/>
          <w:bCs/>
          <w:color w:val="1A2330"/>
          <w:sz w:val="24"/>
          <w:szCs w:val="24"/>
        </w:rPr>
        <w:t xml:space="preserve">Point 23 — Roadmap et jalons</w:t>
      </w:r>
      <w:bookmarkEnd w:id="100034"/>
    </w:p>
    <w:p>
      <w:pPr>
        <w:keepNext w:val="false"/>
        <w:spacing w:after="120" w:line="312"/>
        <w:jc w:val="both"/>
      </w:pPr>
      <w:r>
        <w:rPr>
          <w:rFonts w:ascii="Times New Roman" w:eastAsia="SimSun"/>
          <w:color w:val="000000"/>
          <w:sz w:val="24"/>
          <w:szCs w:val="24"/>
        </w:rPr>
        <w:t xml:space="preserve">Le projet avance en cinq jalons vérifiables. Jalon 0 : validation du présent cahier des charges et des quatre décisions du chapitre 6. Jalon 1 : connecteur local lisant réellement mon équipe et la ligue, avec première synchronisation de contrôle contre la capture du 13 septembre. Jalon 2 : base normalisée et modules Mon équipe et Calendrier opérationnels. Jalon 3 : War Room et moteur d'alertes. Jalon 4 : V1 utilisable avant la deadline de la journée 5. Les phases suivantes ajoutent la prédiction probabiliste (V1.5), puis le différentiel automatisé et l'assistant IA connecté (V2).</w:t>
      </w:r>
    </w:p>
    <w:p>
      <w:pPr>
        <w:pStyle w:val="Heading3"/>
        <w:spacing w:after="100" w:before="200" w:line="312"/>
      </w:pPr>
      <w:bookmarkStart w:id="100035" w:name="_Toc100035"/>
      <w:r>
        <w:rPr>
          <w:rFonts w:ascii="Times New Roman" w:eastAsia="SimHei"/>
          <w:b/>
          <w:bCs/>
          <w:color w:val="1A2330"/>
          <w:sz w:val="24"/>
          <w:szCs w:val="24"/>
        </w:rPr>
        <w:t xml:space="preserve">Point 24 — Critères d'acceptation</w:t>
      </w:r>
      <w:bookmarkEnd w:id="100035"/>
    </w:p>
    <w:p>
      <w:pPr>
        <w:keepNext w:val="false"/>
        <w:spacing w:after="120" w:line="312"/>
        <w:jc w:val="both"/>
      </w:pPr>
      <w:r>
        <w:rPr>
          <w:rFonts w:ascii="Times New Roman" w:eastAsia="SimSun"/>
          <w:color w:val="000000"/>
          <w:sz w:val="24"/>
          <w:szCs w:val="24"/>
        </w:rPr>
        <w:t xml:space="preserve">La V1 est acceptée si cinq critères sont réunis. Premièrement, le onze affiché correspond exactement à l'application, sans aucune saisie manuelle. Deuxièmement, le classement affiché est identique à la capture de référence : 333, 318, 295, 284 et 283 points. Troisièmement, cent pour cent des recommandations sont justifiées par au moins deux données réelles datées. Quatrièmement, une synchronisation complète s'exécute en moins de cinq minutes sur la machine locale, y compris le premier lancement. Cinquièmement, aucun identifiant Sofascore n'est stocké par le logiciel, vérification faite de l'ensemble des fichiers créés en local.</w:t>
      </w:r>
    </w:p>
    <w:p>
      <w:pPr>
        <w:pStyle w:val="Heading1"/>
        <w:spacing w:after="160" w:before="360" w:line="312"/>
      </w:pPr>
      <w:bookmarkStart w:id="100036" w:name="_Toc100036"/>
      <w:r>
        <w:rPr>
          <w:rFonts w:ascii="Times New Roman" w:eastAsia="SimHei"/>
          <w:b/>
          <w:bCs/>
          <w:color w:val="1A2330"/>
          <w:sz w:val="32"/>
          <w:szCs w:val="32"/>
        </w:rPr>
        <w:t xml:space="preserve">5. Accès aux données réelles : constat et options</w:t>
      </w:r>
      <w:bookmarkEnd w:id="100036"/>
    </w:p>
    <w:p>
      <w:pPr>
        <w:spacing w:after="120" w:line="312"/>
        <w:jc w:val="both"/>
      </w:pPr>
      <w:r>
        <w:rPr>
          <w:rFonts w:ascii="Times New Roman" w:eastAsia="SimSun"/>
          <w:color w:val="000000"/>
          <w:sz w:val="24"/>
          <w:szCs w:val="24"/>
        </w:rPr>
        <w:t xml:space="preserve">Ce chapitre traduit en décision d'architecture le constat technique du point 16. Il a été établi par des tests réels exécutés le 14 septembre 2026, résumés ci-dessous. Leur valeur est décisive : ils interdisent de bâtir le logiciel sur une hypothèse de collecte serveur qui échouerait dès le premier jour, et orientent toute l'architecture vers une exécution locale, du côté de l'utilisateur.</w:t>
      </w:r>
    </w:p>
    <w:p>
      <w:pPr>
        <w:pStyle w:val="Heading2"/>
        <w:spacing w:after="120" w:before="240" w:line="312"/>
      </w:pPr>
      <w:bookmarkStart w:id="100037" w:name="_Toc100037"/>
      <w:r>
        <w:rPr>
          <w:rFonts w:ascii="Times New Roman" w:eastAsia="SimHei"/>
          <w:b/>
          <w:bCs/>
          <w:color w:val="1A2330"/>
          <w:sz w:val="28"/>
          <w:szCs w:val="28"/>
        </w:rPr>
        <w:t xml:space="preserve">5.1 Constat technique du 14 septembre 2026</w:t>
      </w:r>
      <w:bookmarkEnd w:id="100037"/>
    </w:p>
    <w:p>
      <w:pPr>
        <w:keepNext/>
        <w:spacing w:after="80" w:before="160" w:line="312"/>
        <w:jc w:val="left"/>
      </w:pPr>
      <w:r>
        <w:rPr>
          <w:rFonts w:ascii="Times New Roman" w:eastAsia="SimSun"/>
          <w:b/>
          <w:bCs/>
          <w:color w:val="404040"/>
          <w:sz w:val="21"/>
          <w:szCs w:val="21"/>
        </w:rPr>
        <w:t xml:space="preserve">Tableau 4 — Résultats des tests d'accès aux services Sofascore</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tblGrid>
      <w:tr>
        <w:trPr>
          <w:cantSplit/>
          <w:tblHeader/>
        </w:trPr>
        <w:tc>
          <w:tcPr>
            <w:tcW w:type="pct" w:w="38%"/>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Test exécuté</w:t>
            </w:r>
          </w:p>
        </w:tc>
        <w:tc>
          <w:tcPr>
            <w:tcW w:type="pct" w:w="4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Résultat observé</w:t>
            </w:r>
          </w:p>
        </w:tc>
        <w:tc>
          <w:tcPr>
            <w:tcW w:type="pct" w:w="22%"/>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Verdict</w:t>
            </w:r>
          </w:p>
        </w:tc>
      </w:tr>
      <w:tr>
        <w:trPr>
          <w:cantSplit/>
        </w:trPr>
        <w:tc>
          <w:tcPr>
            <w:tcW w:type="pct" w:w="3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Appel direct à l'API (api.sofascore.com)</w:t>
            </w:r>
          </w:p>
        </w:tc>
        <w:tc>
          <w:tcPr>
            <w:tcW w:type="pct" w:w="4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HTTP 403 — Forbidden</w:t>
            </w:r>
          </w:p>
        </w:tc>
        <w:tc>
          <w:tcPr>
            <w:tcW w:type="pct" w:w="22%"/>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Bloqué</w:t>
            </w:r>
          </w:p>
        </w:tc>
      </w:tr>
      <w:tr>
        <w:trPr>
          <w:cantSplit/>
        </w:trPr>
        <w:tc>
          <w:tcPr>
            <w:tcW w:type="pct" w:w="38%"/>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API via domaine principal (www.sofascore.com/api/v1)</w:t>
            </w:r>
          </w:p>
        </w:tc>
        <w:tc>
          <w:tcPr>
            <w:tcW w:type="pct" w:w="4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HTTP 403 — raison « challenge » (Cloudflare Turnstile)</w:t>
            </w:r>
          </w:p>
        </w:tc>
        <w:tc>
          <w:tcPr>
            <w:tcW w:type="pct" w:w="22%"/>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Bloqué</w:t>
            </w:r>
          </w:p>
        </w:tc>
      </w:tr>
      <w:tr>
        <w:trPr>
          <w:cantSplit/>
        </w:trPr>
        <w:tc>
          <w:tcPr>
            <w:tcW w:type="pct" w:w="3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Navigateur automatisé complet sur les pages publiques</w:t>
            </w:r>
          </w:p>
        </w:tc>
        <w:tc>
          <w:tcPr>
            <w:tcW w:type="pct" w:w="4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Pages et articles chargés correctement</w:t>
            </w:r>
          </w:p>
        </w:tc>
        <w:tc>
          <w:tcPr>
            <w:tcW w:type="pct" w:w="22%"/>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Accessible</w:t>
            </w:r>
          </w:p>
        </w:tc>
      </w:tr>
      <w:tr>
        <w:trPr>
          <w:cantSplit/>
        </w:trPr>
        <w:tc>
          <w:tcPr>
            <w:tcW w:type="pct" w:w="38%"/>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API depuis le navigateur automatisé, après délai</w:t>
            </w:r>
          </w:p>
        </w:tc>
        <w:tc>
          <w:tcPr>
            <w:tcW w:type="pct" w:w="4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HTTP 403 « challenge » persistant</w:t>
            </w:r>
          </w:p>
        </w:tc>
        <w:tc>
          <w:tcPr>
            <w:tcW w:type="pct" w:w="22%"/>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Bloqué</w:t>
            </w:r>
          </w:p>
        </w:tc>
      </w:tr>
      <w:tr>
        <w:trPr>
          <w:cantSplit/>
        </w:trPr>
        <w:tc>
          <w:tcPr>
            <w:tcW w:type="pct" w:w="3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Écran Fantasy et page de profil utilisateur</w:t>
            </w:r>
          </w:p>
        </w:tc>
        <w:tc>
          <w:tcPr>
            <w:tcW w:type="pct" w:w="4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Mur de connexion (Google, Facebook, Apple) + challenge</w:t>
            </w:r>
          </w:p>
        </w:tc>
        <w:tc>
          <w:tcPr>
            <w:tcW w:type="pct" w:w="22%"/>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Réservé au compte</w:t>
            </w:r>
          </w:p>
        </w:tc>
      </w:tr>
    </w:tbl>
    <w:p>
      <w:pPr>
        <w:keepNext w:val="false"/>
        <w:spacing w:after="120" w:line="312"/>
        <w:jc w:val="both"/>
      </w:pPr>
      <w:r>
        <w:rPr>
          <w:rFonts w:ascii="Times New Roman" w:eastAsia="SimSun"/>
          <w:color w:val="000000"/>
          <w:sz w:val="24"/>
          <w:szCs w:val="24"/>
        </w:rPr>
        <w:t xml:space="preserve">La lecture de ce tableau est sans ambiguïté : Sofascore protège activement son API contre les accès non navigateurs et les environnements serveurs, tout en laissant les pages publiques et les articles accessibles. Les données de jeu (équipe, ligue, rivaux) sont de surcroît placées derrière l'authentification du compte. Une architecture qui tenterait de collecter ces données depuis un serveur serait à la fois inefficace et inutilement agressive envers le service ; la bonne réponse est technique avant d'être diplomatique : collecter là où la session existe déjà, c'est-à-dire sur la machine de l'utilisateur.</w:t>
      </w:r>
    </w:p>
    <w:p>
      <w:pPr>
        <w:pStyle w:val="Heading2"/>
        <w:spacing w:after="120" w:before="240" w:line="312"/>
      </w:pPr>
      <w:bookmarkStart w:id="100038" w:name="_Toc100038"/>
      <w:r>
        <w:rPr>
          <w:rFonts w:ascii="Times New Roman" w:eastAsia="SimHei"/>
          <w:b/>
          <w:bCs/>
          <w:color w:val="1A2330"/>
          <w:sz w:val="28"/>
          <w:szCs w:val="28"/>
        </w:rPr>
        <w:t xml:space="preserve">5.2 Trois options de collecte comparées</w:t>
      </w:r>
      <w:bookmarkEnd w:id="100038"/>
    </w:p>
    <w:p>
      <w:pPr>
        <w:keepNext/>
        <w:spacing w:after="80" w:before="160" w:line="312"/>
        <w:jc w:val="left"/>
      </w:pPr>
      <w:r>
        <w:rPr>
          <w:rFonts w:ascii="Times New Roman" w:eastAsia="SimSun"/>
          <w:b/>
          <w:bCs/>
          <w:color w:val="404040"/>
          <w:sz w:val="21"/>
          <w:szCs w:val="21"/>
        </w:rPr>
        <w:t xml:space="preserve">Tableau 5 — Comparaison des trois options de collecte des données réelles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gridCol w:w="100"/>
      </w:tblGrid>
      <w:tr>
        <w:trPr>
          <w:cantSplit/>
          <w:tblHeader/>
        </w:trPr>
        <w:tc>
          <w:tcPr>
            <w:tcW w:type="pct" w:w="24%"/>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Critère</w:t>
            </w:r>
          </w:p>
        </w:tc>
        <w:tc>
          <w:tcPr>
            <w:tcW w:type="pct" w:w="27%"/>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A. Connecteur local</w:t>
            </w:r>
          </w:p>
        </w:tc>
        <w:tc>
          <w:tcPr>
            <w:tcW w:type="pct" w:w="26%"/>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B. Extension navigateur</w:t>
            </w:r>
          </w:p>
        </w:tc>
        <w:tc>
          <w:tcPr>
            <w:tcW w:type="pct" w:w="23%"/>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C. Import manuel</w:t>
            </w:r>
          </w:p>
        </w:tc>
      </w:tr>
      <w:tr>
        <w:trPr>
          <w:cantSplit/>
        </w:trPr>
        <w:tc>
          <w:tcPr>
            <w:tcW w:type="pct" w:w="24%"/>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Fiabilité face à Cloudflare</w:t>
            </w:r>
          </w:p>
        </w:tc>
        <w:tc>
          <w:tcPr>
            <w:tcW w:type="pct" w:w="27%"/>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Élevée — session et IP réelles de l'utilisateur</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Très élevée — trafic natif du navigateur</w:t>
            </w:r>
          </w:p>
        </w:tc>
        <w:tc>
          <w:tcPr>
            <w:tcW w:type="pct" w:w="23%"/>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Totale — aucune requête automatisée</w:t>
            </w:r>
          </w:p>
        </w:tc>
      </w:tr>
      <w:tr>
        <w:trPr>
          <w:cantSplit/>
        </w:trPr>
        <w:tc>
          <w:tcPr>
            <w:tcW w:type="pct" w:w="24%"/>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Effort de mise en place</w:t>
            </w:r>
          </w:p>
        </w:tc>
        <w:tc>
          <w:tcPr>
            <w:tcW w:type="pct" w:w="27%"/>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Moyen — service local + lecture de session</w:t>
            </w:r>
          </w:p>
        </w:tc>
        <w:tc>
          <w:tcPr>
            <w:tcW w:type="pct" w:w="26%"/>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Moyen — développement d'extension</w:t>
            </w:r>
          </w:p>
        </w:tc>
        <w:tc>
          <w:tcPr>
            <w:tcW w:type="pct" w:w="23%"/>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Faible — formulaire guidé</w:t>
            </w:r>
          </w:p>
        </w:tc>
      </w:tr>
      <w:tr>
        <w:trPr>
          <w:cantSplit/>
        </w:trPr>
        <w:tc>
          <w:tcPr>
            <w:tcW w:type="pct" w:w="24%"/>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Confort quotidien</w:t>
            </w:r>
          </w:p>
        </w:tc>
        <w:tc>
          <w:tcPr>
            <w:tcW w:type="pct" w:w="27%"/>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Élevé — bouton « Synchroniser »</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Élevé — passif pendant la navigation</w:t>
            </w:r>
          </w:p>
        </w:tc>
        <w:tc>
          <w:tcPr>
            <w:tcW w:type="pct" w:w="23%"/>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Limité — quelques minutes par journée</w:t>
            </w:r>
          </w:p>
        </w:tc>
      </w:tr>
      <w:tr>
        <w:trPr>
          <w:cantSplit/>
        </w:trPr>
        <w:tc>
          <w:tcPr>
            <w:tcW w:type="pct" w:w="24%"/>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Exposition des identifiants</w:t>
            </w:r>
          </w:p>
        </w:tc>
        <w:tc>
          <w:tcPr>
            <w:tcW w:type="pct" w:w="27%"/>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Aucune — pas de mot de passe manipulé</w:t>
            </w:r>
          </w:p>
        </w:tc>
        <w:tc>
          <w:tcPr>
            <w:tcW w:type="pct" w:w="26%"/>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Aucune</w:t>
            </w:r>
          </w:p>
        </w:tc>
        <w:tc>
          <w:tcPr>
            <w:tcW w:type="pct" w:w="23%"/>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Aucune</w:t>
            </w:r>
          </w:p>
        </w:tc>
      </w:tr>
      <w:tr>
        <w:trPr>
          <w:cantSplit/>
        </w:trPr>
        <w:tc>
          <w:tcPr>
            <w:tcW w:type="pct" w:w="24%"/>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Rôle dans le projet</w:t>
            </w:r>
          </w:p>
        </w:tc>
        <w:tc>
          <w:tcPr>
            <w:tcW w:type="pct" w:w="27%"/>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Canal principal retenu</w:t>
            </w:r>
          </w:p>
        </w:tc>
        <w:tc>
          <w:tcPr>
            <w:tcW w:type="pct" w:w="26%"/>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Repli technique</w:t>
            </w:r>
          </w:p>
        </w:tc>
        <w:tc>
          <w:tcPr>
            <w:tcW w:type="pct" w:w="23%"/>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Repli d'urgence</w:t>
            </w:r>
          </w:p>
        </w:tc>
      </w:tr>
    </w:tbl>
    <w:p>
      <w:pPr>
        <w:keepNext w:val="false"/>
        <w:spacing w:after="120" w:line="312"/>
        <w:jc w:val="both"/>
      </w:pPr>
      <w:r>
        <w:rPr>
          <w:rFonts w:ascii="Times New Roman" w:eastAsia="SimSun"/>
          <w:color w:val="000000"/>
          <w:sz w:val="24"/>
          <w:szCs w:val="24"/>
        </w:rPr>
        <w:t xml:space="preserve">L'option A combine deux avantages décisifs : la fiabilité d'une session authentique exécutée sur le réseau résidentiel de l'utilisateur, et un confort d'usage en un clic avant chaque deadline. L'option B est techniquement la plus robuste — le trafic provient du vrai navigateur, indistinguable d'une navigation normale — mais son développement est plus spécialisé ; elle reste le repli naturel si le connecteur se heurte à une évolution des protections. L'option C ne souffre d'aucune dépendance technique et garantit la continuité du service dans tous les cas, au prix de quelques minutes de saisie par journée ; c'est aussi le canal d'amorçage de la V1, le temps de valider le connecteur.</w:t>
      </w:r>
    </w:p>
    <w:p>
      <w:pPr>
        <w:pStyle w:val="Heading2"/>
        <w:spacing w:after="120" w:before="240" w:line="312"/>
      </w:pPr>
      <w:bookmarkStart w:id="100039" w:name="_Toc100039"/>
      <w:r>
        <w:rPr>
          <w:rFonts w:ascii="Times New Roman" w:eastAsia="SimHei"/>
          <w:b/>
          <w:bCs/>
          <w:color w:val="1A2330"/>
          <w:sz w:val="28"/>
          <w:szCs w:val="28"/>
        </w:rPr>
        <w:t xml:space="preserve">5.3 Recommandation</w:t>
      </w:r>
      <w:bookmarkEnd w:id="100039"/>
    </w:p>
    <w:p>
      <w:pPr>
        <w:spacing w:after="120" w:line="312"/>
        <w:jc w:val="both"/>
      </w:pPr>
      <w:r>
        <w:rPr>
          <w:rFonts w:ascii="Times New Roman" w:eastAsia="SimSun"/>
          <w:color w:val="000000"/>
          <w:sz w:val="24"/>
          <w:szCs w:val="24"/>
        </w:rPr>
        <w:t xml:space="preserve">Le projet retient </w:t>
      </w:r>
      <w:r>
        <w:rPr>
          <w:rFonts w:ascii="Times New Roman" w:eastAsia="SimSun"/>
          <w:b/>
          <w:bCs/>
          <w:color w:val="000000"/>
          <w:sz w:val="24"/>
          <w:szCs w:val="24"/>
        </w:rPr>
        <w:t xml:space="preserve">le connecteur local comme canal principal</w:t>
      </w:r>
      <w:r>
        <w:rPr>
          <w:rFonts w:ascii="Times New Roman" w:eastAsia="SimSun"/>
          <w:color w:val="000000"/>
          <w:sz w:val="24"/>
          <w:szCs w:val="24"/>
        </w:rPr>
        <w:t xml:space="preserve">, l'extension navigateur comme repli technique et l'import manuel comme filet de sécurité permanent. Trois précautions accompagnent ce choix : le connecteur n'utilise que la session déjà ouverte dans le navigateur de l'utilisateur — aucun mot de passe n'est jamais saisi dans le logiciel ; le rythme de requêtes reste volontairement bas (quelques synchronisations par journée), dans un usage strictement personnel des services Sofascore ; et l'utilisateur conserve un bouton de suppression totale de la base et des sessions. Cette configuration respecte le point 21 du cahier des charges et place la conformité au même niveau que la performance.</w:t>
      </w:r>
    </w:p>
    <w:p>
      <w:pPr>
        <w:pStyle w:val="Heading1"/>
        <w:spacing w:after="160" w:before="360" w:line="312"/>
      </w:pPr>
      <w:bookmarkStart w:id="100040" w:name="_Toc100040"/>
      <w:r>
        <w:rPr>
          <w:rFonts w:ascii="Times New Roman" w:eastAsia="SimHei"/>
          <w:b/>
          <w:bCs/>
          <w:color w:val="1A2330"/>
          <w:sz w:val="32"/>
          <w:szCs w:val="32"/>
        </w:rPr>
        <w:t xml:space="preserve">6. Validation et prochaines étapes</w:t>
      </w:r>
      <w:bookmarkEnd w:id="100040"/>
    </w:p>
    <w:p>
      <w:pPr>
        <w:spacing w:after="120" w:line="312"/>
        <w:jc w:val="both"/>
      </w:pPr>
      <w:r>
        <w:rPr>
          <w:rFonts w:ascii="Times New Roman" w:eastAsia="SimSun"/>
          <w:color w:val="000000"/>
          <w:sz w:val="24"/>
          <w:szCs w:val="24"/>
        </w:rPr>
        <w:t xml:space="preserve">Ce chapitre fixe les conditions de démarrage du développement. Le cahier des charges est considéré comme validé lorsque les quatre décisions ci-dessous sont confirmées par l'utilisateur ; le développement du jalon 1 (connecteur local et première synchronisation réelle) peut alors commencer immédiatement, l'objectif restant une V1 utilisable avant la deadline de la journée 5 de la ligue.</w:t>
      </w:r>
    </w:p>
    <w:p>
      <w:pPr>
        <w:pStyle w:val="Heading2"/>
        <w:spacing w:after="120" w:before="240" w:line="312"/>
      </w:pPr>
      <w:bookmarkStart w:id="100041" w:name="_Toc100041"/>
      <w:r>
        <w:rPr>
          <w:rFonts w:ascii="Times New Roman" w:eastAsia="SimHei"/>
          <w:b/>
          <w:bCs/>
          <w:color w:val="1A2330"/>
          <w:sz w:val="28"/>
          <w:szCs w:val="28"/>
        </w:rPr>
        <w:t xml:space="preserve">6.1 Critères d'acceptation de la V1</w:t>
      </w:r>
      <w:bookmarkEnd w:id="100041"/>
    </w:p>
    <w:p>
      <w:pPr>
        <w:keepNext/>
        <w:spacing w:after="80" w:before="160" w:line="312"/>
        <w:jc w:val="left"/>
      </w:pPr>
      <w:r>
        <w:rPr>
          <w:rFonts w:ascii="Times New Roman" w:eastAsia="SimSun"/>
          <w:b/>
          <w:bCs/>
          <w:color w:val="404040"/>
          <w:sz w:val="21"/>
          <w:szCs w:val="21"/>
        </w:rPr>
        <w:t xml:space="preserve">Tableau 6 — Critères d'acceptation mesurables de la V1</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tblGrid>
      <w:tr>
        <w:trPr>
          <w:cantSplit/>
          <w:tblHeader/>
        </w:trPr>
        <w:tc>
          <w:tcPr>
            <w:tcW w:type="pct" w:w="8%"/>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N°</w:t>
            </w:r>
          </w:p>
        </w:tc>
        <w:tc>
          <w:tcPr>
            <w:tcW w:type="pct" w:w="32%"/>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Critère</w:t>
            </w:r>
          </w:p>
        </w:tc>
        <w:tc>
          <w:tcPr>
            <w:tcW w:type="pct" w:w="60%"/>
            <w:shd w:fill="D4875A" w:val="clear"/>
            <w:tcMar>
              <w:top w:type="dxa" w:w="70"/>
              <w:left w:type="dxa" w:w="120"/>
              <w:bottom w:type="dxa" w:w="70"/>
              <w:right w:type="dxa" w:w="120"/>
            </w:tcMar>
          </w:tcPr>
          <w:p>
            <w:pPr>
              <w:spacing w:line="312"/>
              <w:jc w:val="left"/>
            </w:pPr>
            <w:r>
              <w:rPr>
                <w:rFonts w:ascii="Times New Roman" w:eastAsia="SimSun"/>
                <w:b/>
                <w:bCs/>
                <w:color w:val="FFFFFF"/>
                <w:sz w:val="21"/>
                <w:szCs w:val="21"/>
              </w:rPr>
              <w:t xml:space="preserve">Seuil de validation</w:t>
            </w:r>
          </w:p>
        </w:tc>
      </w:tr>
      <w:tr>
        <w:trPr>
          <w:cantSplit/>
        </w:trPr>
        <w:tc>
          <w:tcPr>
            <w:tcW w:type="pct" w:w="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w:t>
            </w:r>
          </w:p>
        </w:tc>
        <w:tc>
          <w:tcPr>
            <w:tcW w:type="pct" w:w="32%"/>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Exactitude de l'équipe affichée</w:t>
            </w:r>
          </w:p>
        </w:tc>
        <w:tc>
          <w:tcPr>
            <w:tcW w:type="pct" w:w="6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Le onze, le banc et le capitaine correspondent à l'application, sans saisie manuelle</w:t>
            </w:r>
          </w:p>
        </w:tc>
      </w:tr>
      <w:tr>
        <w:trPr>
          <w:cantSplit/>
        </w:trPr>
        <w:tc>
          <w:tcPr>
            <w:tcW w:type="pct" w:w="8%"/>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2</w:t>
            </w:r>
          </w:p>
        </w:tc>
        <w:tc>
          <w:tcPr>
            <w:tcW w:type="pct" w:w="32%"/>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Exactitude du classement</w:t>
            </w:r>
          </w:p>
        </w:tc>
        <w:tc>
          <w:tcPr>
            <w:tcW w:type="pct" w:w="6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Valeurs identiques à la capture de référence : 333, 318, 295, 284, 283 points</w:t>
            </w:r>
          </w:p>
        </w:tc>
      </w:tr>
      <w:tr>
        <w:trPr>
          <w:cantSplit/>
        </w:trPr>
        <w:tc>
          <w:tcPr>
            <w:tcW w:type="pct" w:w="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3</w:t>
            </w:r>
          </w:p>
        </w:tc>
        <w:tc>
          <w:tcPr>
            <w:tcW w:type="pct" w:w="32%"/>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Traçabilité des recommandations</w:t>
            </w:r>
          </w:p>
        </w:tc>
        <w:tc>
          <w:tcPr>
            <w:tcW w:type="pct" w:w="6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100 % des verdicts justifiés par au moins 2 données réelles datées</w:t>
            </w:r>
          </w:p>
        </w:tc>
      </w:tr>
      <w:tr>
        <w:trPr>
          <w:cantSplit/>
        </w:trPr>
        <w:tc>
          <w:tcPr>
            <w:tcW w:type="pct" w:w="8%"/>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4</w:t>
            </w:r>
          </w:p>
        </w:tc>
        <w:tc>
          <w:tcPr>
            <w:tcW w:type="pct" w:w="32%"/>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Performance de synchronisation</w:t>
            </w:r>
          </w:p>
        </w:tc>
        <w:tc>
          <w:tcPr>
            <w:tcW w:type="pct" w:w="60%"/>
            <w:shd w:fill="FFFFFF" w:val="clear"/>
            <w:tcMar>
              <w:top w:type="dxa" w:w="60"/>
              <w:left w:type="dxa" w:w="120"/>
              <w:bottom w:type="dxa" w:w="60"/>
              <w:right w:type="dxa" w:w="120"/>
            </w:tcMar>
          </w:tcPr>
          <w:p>
            <w:pPr>
              <w:spacing w:line="312"/>
              <w:jc w:val="left"/>
            </w:pPr>
            <w:r>
              <w:rPr>
                <w:rFonts w:ascii="Times New Roman" w:eastAsia="SimSun"/>
                <w:color w:val="000000"/>
                <w:sz w:val="21"/>
                <w:szCs w:val="21"/>
              </w:rPr>
              <w:t xml:space="preserve">Synchronisation complète en moins de 5 minutes, premier lancement inclus</w:t>
            </w:r>
          </w:p>
        </w:tc>
      </w:tr>
      <w:tr>
        <w:trPr>
          <w:cantSplit/>
        </w:trPr>
        <w:tc>
          <w:tcPr>
            <w:tcW w:type="pct" w:w="8%"/>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5</w:t>
            </w:r>
          </w:p>
        </w:tc>
        <w:tc>
          <w:tcPr>
            <w:tcW w:type="pct" w:w="32%"/>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Confidentialité</w:t>
            </w:r>
          </w:p>
        </w:tc>
        <w:tc>
          <w:tcPr>
            <w:tcW w:type="pct" w:w="60%"/>
            <w:shd w:fill="F8F0EB" w:val="clear"/>
            <w:tcMar>
              <w:top w:type="dxa" w:w="60"/>
              <w:left w:type="dxa" w:w="120"/>
              <w:bottom w:type="dxa" w:w="60"/>
              <w:right w:type="dxa" w:w="120"/>
            </w:tcMar>
          </w:tcPr>
          <w:p>
            <w:pPr>
              <w:spacing w:line="312"/>
              <w:jc w:val="left"/>
            </w:pPr>
            <w:r>
              <w:rPr>
                <w:rFonts w:ascii="Times New Roman" w:eastAsia="SimSun"/>
                <w:color w:val="000000"/>
                <w:sz w:val="21"/>
                <w:szCs w:val="21"/>
              </w:rPr>
              <w:t xml:space="preserve">Aucun identifiant Sofascore stocké, vérification de tous les fichiers locaux</w:t>
            </w:r>
          </w:p>
        </w:tc>
      </w:tr>
    </w:tbl>
    <w:p>
      <w:pPr>
        <w:pStyle w:val="Heading2"/>
        <w:spacing w:after="120" w:before="240" w:line="312"/>
      </w:pPr>
      <w:bookmarkStart w:id="100042" w:name="_Toc100042"/>
      <w:r>
        <w:rPr>
          <w:rFonts w:ascii="Times New Roman" w:eastAsia="SimHei"/>
          <w:b/>
          <w:bCs/>
          <w:color w:val="1A2330"/>
          <w:sz w:val="28"/>
          <w:szCs w:val="28"/>
        </w:rPr>
        <w:t xml:space="preserve">6.2 Décisions à valider par l'utilisateur</w:t>
      </w:r>
      <w:bookmarkEnd w:id="100042"/>
    </w:p>
    <w:p>
      <w:pPr>
        <w:keepNext w:val="false"/>
        <w:spacing w:after="120" w:line="312"/>
        <w:jc w:val="both"/>
      </w:pPr>
      <w:r>
        <w:rPr>
          <w:rFonts w:ascii="Times New Roman" w:eastAsia="SimSun"/>
          <w:color w:val="000000"/>
          <w:sz w:val="24"/>
          <w:szCs w:val="24"/>
        </w:rPr>
        <w:t xml:space="preserve">Quatre décisions conditionnent le lancement. Elles sont listées avec leur valeur par défaut recommandée : un accord implicite sur les recommandations suffit à déclencher le jalon 1.</w:t>
      </w:r>
    </w:p>
    <w:p>
      <w:pPr>
        <w:pStyle w:val="ListParagraph"/>
        <w:numPr>
          <w:ilvl w:val="0"/>
          <w:numId w:val="1"/>
        </w:numPr>
        <w:spacing w:after="60" w:line="312"/>
        <w:jc w:val="left"/>
      </w:pPr>
      <w:r>
        <w:rPr>
          <w:rFonts w:ascii="Times New Roman" w:eastAsia="SimSun"/>
          <w:color w:val="000000"/>
          <w:sz w:val="24"/>
          <w:szCs w:val="24"/>
        </w:rPr>
        <w:t xml:space="preserve">Décision 1 — Confirmer que votre équipe est bien Vital_GDB (4e, 284 points, équipe surlignée dans la capture du 13 septembre).</w:t>
      </w:r>
    </w:p>
    <w:p>
      <w:pPr>
        <w:pStyle w:val="ListParagraph"/>
        <w:numPr>
          <w:ilvl w:val="0"/>
          <w:numId w:val="1"/>
        </w:numPr>
        <w:spacing w:after="60" w:line="312"/>
        <w:jc w:val="left"/>
      </w:pPr>
      <w:r>
        <w:rPr>
          <w:rFonts w:ascii="Times New Roman" w:eastAsia="SimSun"/>
          <w:color w:val="000000"/>
          <w:sz w:val="24"/>
          <w:szCs w:val="24"/>
        </w:rPr>
        <w:t xml:space="preserve">Décision 2 — Préciser le rattachement des quatre rivaux pour le War Room : qui est votre frère, qui sont vos trois amis (nik Leroy, Donatien_10, Nadjib Américo, Zarés Junior).</w:t>
      </w:r>
    </w:p>
    <w:p>
      <w:pPr>
        <w:pStyle w:val="ListParagraph"/>
        <w:numPr>
          <w:ilvl w:val="0"/>
          <w:numId w:val="1"/>
        </w:numPr>
        <w:spacing w:after="60" w:line="312"/>
        <w:jc w:val="left"/>
      </w:pPr>
      <w:r>
        <w:rPr>
          <w:rFonts w:ascii="Times New Roman" w:eastAsia="SimSun"/>
          <w:color w:val="000000"/>
          <w:sz w:val="24"/>
          <w:szCs w:val="24"/>
        </w:rPr>
        <w:t xml:space="preserve">Décision 3 — Valider le connecteur local comme canal principal de collecte, avec l'extension navigateur et l'import manuel en repli (chapitre 5).</w:t>
      </w:r>
    </w:p>
    <w:p>
      <w:pPr>
        <w:pStyle w:val="ListParagraph"/>
        <w:numPr>
          <w:ilvl w:val="0"/>
          <w:numId w:val="1"/>
        </w:numPr>
        <w:spacing w:after="160" w:line="312"/>
        <w:jc w:val="left"/>
      </w:pPr>
      <w:r>
        <w:rPr>
          <w:rFonts w:ascii="Times New Roman" w:eastAsia="SimSun"/>
          <w:color w:val="000000"/>
          <w:sz w:val="24"/>
          <w:szCs w:val="24"/>
        </w:rPr>
        <w:t xml:space="preserve">Décision 4 — Envoyer une capture de l'écran « Mon équipe » de l'application (onze, banc, budget, transferts disponibles, tokens) pour amorcer la base réelle dès le jalon 1.</w:t>
      </w:r>
    </w:p>
    <w:p>
      <w:pPr>
        <w:spacing w:after="120" w:line="312"/>
        <w:jc w:val="both"/>
      </w:pPr>
      <w:r>
        <w:rPr>
          <w:rFonts w:ascii="Times New Roman" w:eastAsia="SimSun"/>
          <w:color w:val="000000"/>
          <w:sz w:val="24"/>
          <w:szCs w:val="24"/>
        </w:rPr>
        <w:t xml:space="preserve">Dès réception de ces confirmations, la séquence de travail est la suivante : mise en place du connecteur local sur votre machine, première synchronisation de contrôle contre la capture du 13 septembre 2026, puis construction des modules « Mon équipe » et « Calendrier » sur la base normalisée. Le War Room et les alertes suivent, en gardant une constante : </w:t>
      </w:r>
      <w:r>
        <w:rPr>
          <w:rFonts w:ascii="Times New Roman" w:eastAsia="SimSun"/>
          <w:b/>
          <w:bCs/>
          <w:color w:val="000000"/>
          <w:sz w:val="24"/>
          <w:szCs w:val="24"/>
        </w:rPr>
        <w:t xml:space="preserve">chaque chiffre affiché proviendra d'une source réelle et datée</w:t>
      </w:r>
      <w:r>
        <w:rPr>
          <w:rFonts w:ascii="Times New Roman" w:eastAsia="SimSun"/>
          <w:color w:val="000000"/>
          <w:sz w:val="24"/>
          <w:szCs w:val="24"/>
        </w:rPr>
        <w:t xml:space="preserve">, dans la continuité exacte des tableaux de ce document.</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ROMAN \* MERGEFORMA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arabic \* MERGEFORMA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75A" w:sz="2" w:space="4"/>
      </w:pBdr>
      <w:spacing w:after="0"/>
      <w:jc w:val="center"/>
    </w:pPr>
    <w:r>
      <w:rPr>
        <w:rFonts w:ascii="Times New Roman" w:eastAsia="SimSun"/>
        <w:color w:val="808080"/>
        <w:sz w:val="18"/>
        <w:szCs w:val="18"/>
      </w:rPr>
      <w:t xml:space="preserve">Sofascore Fantasy Coach — Cahier des Charges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75A" w:sz="2" w:space="4"/>
      </w:pBdr>
      <w:spacing w:after="0"/>
      <w:jc w:val="center"/>
    </w:pPr>
    <w:r>
      <w:rPr>
        <w:rFonts w:ascii="Times New Roman" w:eastAsia="SimSun"/>
        <w:color w:val="808080"/>
        <w:sz w:val="18"/>
        <w:szCs w:val="18"/>
      </w:rPr>
      <w:t xml:space="preserve">Sofascore Fantasy Coach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a2157ebe331fb402564fe3f9b6c56d9608dec4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Sofascore Fantasy Coach — Premier League</dc:title>
  <dc:creator>Sofascore Fantasy Coach</dc:creator>
  <cp:lastModifiedBy>Un-named</cp:lastModifiedBy>
  <cp:revision>1</cp:revision>
  <dcterms:created xsi:type="dcterms:W3CDTF">2026-09-13T20:35:30.542Z</dcterms:created>
  <dcterms:modified xsi:type="dcterms:W3CDTF">2026-09-13T20:35:30.542Z</dcterms:modified>
</cp:coreProperties>
</file>

<file path=docProps/custom.xml><?xml version="1.0" encoding="utf-8"?>
<Properties xmlns="http://schemas.openxmlformats.org/officeDocument/2006/custom-properties" xmlns:vt="http://schemas.openxmlformats.org/officeDocument/2006/docPropsVTypes"/>
</file>